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B5" w:rsidRPr="00BB6B01" w:rsidRDefault="00ED556B" w:rsidP="003821C6">
      <w:pPr>
        <w:tabs>
          <w:tab w:val="left" w:pos="360"/>
          <w:tab w:val="left" w:pos="4680"/>
        </w:tabs>
        <w:jc w:val="center"/>
        <w:rPr>
          <w:rFonts w:ascii="Arial" w:hAnsi="Arial"/>
          <w:b/>
          <w:sz w:val="22"/>
        </w:rPr>
      </w:pPr>
      <w:r w:rsidRPr="00BB6B01">
        <w:rPr>
          <w:rFonts w:ascii="Arial" w:hAnsi="Arial"/>
          <w:b/>
          <w:sz w:val="22"/>
        </w:rPr>
        <w:t>COMPREHENSIVE, COORDINATED, INTERAGENCY APPROACH TO FREEWAY INCIDENT MANAGEMENT</w:t>
      </w:r>
      <w:r w:rsidR="00F80435" w:rsidRPr="00BB6B01">
        <w:rPr>
          <w:rFonts w:ascii="Arial" w:hAnsi="Arial"/>
          <w:b/>
          <w:sz w:val="22"/>
        </w:rPr>
        <w:t xml:space="preserve"> MODEL </w:t>
      </w:r>
      <w:r w:rsidR="00A42705" w:rsidRPr="00BB6B01">
        <w:rPr>
          <w:rFonts w:ascii="Arial" w:hAnsi="Arial"/>
          <w:b/>
          <w:sz w:val="22"/>
        </w:rPr>
        <w:t>RESOLUTION</w:t>
      </w:r>
    </w:p>
    <w:p w:rsidR="00C202B5" w:rsidRPr="00BB6B01" w:rsidRDefault="00C202B5">
      <w:pPr>
        <w:tabs>
          <w:tab w:val="left" w:pos="360"/>
          <w:tab w:val="left" w:pos="4680"/>
        </w:tabs>
        <w:rPr>
          <w:rFonts w:ascii="Arial" w:hAnsi="Arial"/>
          <w:b/>
          <w:sz w:val="22"/>
        </w:rPr>
      </w:pPr>
    </w:p>
    <w:p w:rsidR="00C202B5" w:rsidRPr="00D541CF" w:rsidRDefault="00C202B5" w:rsidP="00D541CF">
      <w:pPr>
        <w:tabs>
          <w:tab w:val="left" w:pos="855"/>
        </w:tabs>
        <w:ind w:firstLine="360"/>
        <w:rPr>
          <w:rFonts w:ascii="Arial" w:hAnsi="Arial" w:cs="Arial"/>
          <w:sz w:val="22"/>
          <w:szCs w:val="22"/>
        </w:rPr>
      </w:pPr>
      <w:r w:rsidRPr="00BB6B01">
        <w:rPr>
          <w:rFonts w:ascii="Arial" w:hAnsi="Arial" w:cs="Arial"/>
          <w:b/>
          <w:sz w:val="22"/>
        </w:rPr>
        <w:t>WHEREAS</w:t>
      </w:r>
      <w:r w:rsidRPr="00BB6B01">
        <w:rPr>
          <w:rFonts w:ascii="Arial" w:hAnsi="Arial" w:cs="Arial"/>
          <w:sz w:val="22"/>
        </w:rPr>
        <w:t>, the Regional Transportation Council</w:t>
      </w:r>
      <w:r w:rsidR="000D3529">
        <w:rPr>
          <w:rFonts w:ascii="Arial" w:hAnsi="Arial" w:cs="Arial"/>
          <w:sz w:val="22"/>
        </w:rPr>
        <w:t xml:space="preserve"> (RTC)</w:t>
      </w:r>
      <w:r w:rsidR="0080461E" w:rsidRPr="00BB6B01">
        <w:rPr>
          <w:rFonts w:ascii="Arial" w:hAnsi="Arial" w:cs="Arial"/>
          <w:sz w:val="22"/>
        </w:rPr>
        <w:t>,</w:t>
      </w:r>
      <w:r w:rsidRPr="00BB6B01">
        <w:rPr>
          <w:rFonts w:ascii="Arial" w:hAnsi="Arial" w:cs="Arial"/>
          <w:sz w:val="22"/>
        </w:rPr>
        <w:t xml:space="preserve"> comprised primarily of local elected officials, is the regional transportation policy board associated with the North Central Texas Council of Governments</w:t>
      </w:r>
      <w:r w:rsidR="000A6244" w:rsidRPr="00BB6B01">
        <w:rPr>
          <w:rFonts w:ascii="Arial" w:hAnsi="Arial" w:cs="Arial"/>
          <w:sz w:val="22"/>
        </w:rPr>
        <w:t xml:space="preserve"> (NCTCOG)</w:t>
      </w:r>
      <w:r w:rsidR="006D3E04" w:rsidRPr="00BB6B01">
        <w:rPr>
          <w:rFonts w:ascii="Arial" w:hAnsi="Arial" w:cs="Arial"/>
          <w:sz w:val="22"/>
        </w:rPr>
        <w:t xml:space="preserve"> </w:t>
      </w:r>
      <w:r w:rsidR="0080461E" w:rsidRPr="00BB6B01">
        <w:rPr>
          <w:rFonts w:ascii="Arial" w:hAnsi="Arial" w:cs="Arial"/>
          <w:sz w:val="22"/>
        </w:rPr>
        <w:t xml:space="preserve">and </w:t>
      </w:r>
      <w:r w:rsidRPr="00BB6B01">
        <w:rPr>
          <w:rFonts w:ascii="Arial" w:hAnsi="Arial" w:cs="Arial"/>
          <w:sz w:val="22"/>
        </w:rPr>
        <w:t>the regional forum for cooperative decisions on transportation; and,</w:t>
      </w:r>
    </w:p>
    <w:p w:rsidR="00C202B5" w:rsidRPr="00BB6B01" w:rsidRDefault="00C202B5">
      <w:pPr>
        <w:tabs>
          <w:tab w:val="left" w:pos="360"/>
          <w:tab w:val="left" w:pos="4680"/>
        </w:tabs>
        <w:rPr>
          <w:rFonts w:ascii="Arial" w:hAnsi="Arial" w:cs="Arial"/>
          <w:sz w:val="22"/>
        </w:rPr>
      </w:pPr>
    </w:p>
    <w:p w:rsidR="0080385E" w:rsidRPr="00923EE4" w:rsidRDefault="0080385E" w:rsidP="00D541CF">
      <w:pPr>
        <w:tabs>
          <w:tab w:val="left" w:pos="855"/>
        </w:tabs>
        <w:ind w:firstLine="360"/>
        <w:rPr>
          <w:rFonts w:ascii="Arial" w:hAnsi="Arial" w:cs="Arial"/>
          <w:sz w:val="22"/>
          <w:szCs w:val="22"/>
        </w:rPr>
      </w:pPr>
      <w:r w:rsidRPr="00923EE4">
        <w:rPr>
          <w:rFonts w:ascii="Arial" w:hAnsi="Arial" w:cs="Arial"/>
          <w:b/>
          <w:sz w:val="22"/>
        </w:rPr>
        <w:t xml:space="preserve">WHEREAS, </w:t>
      </w:r>
      <w:r w:rsidRPr="00923EE4">
        <w:rPr>
          <w:rFonts w:ascii="Arial" w:hAnsi="Arial" w:cs="Arial"/>
          <w:sz w:val="22"/>
          <w:szCs w:val="22"/>
        </w:rPr>
        <w:t xml:space="preserve">the RTC adopted Resolution R08-10 (an update to RTC Resolution R03-01) that supports a comprehensive, coordinated, interagency approach to </w:t>
      </w:r>
      <w:r w:rsidR="000D3529" w:rsidRPr="00923EE4">
        <w:rPr>
          <w:rFonts w:ascii="Arial" w:hAnsi="Arial" w:cs="Arial"/>
          <w:sz w:val="22"/>
          <w:szCs w:val="22"/>
        </w:rPr>
        <w:t>F</w:t>
      </w:r>
      <w:r w:rsidRPr="00923EE4">
        <w:rPr>
          <w:rFonts w:ascii="Arial" w:hAnsi="Arial" w:cs="Arial"/>
          <w:sz w:val="22"/>
          <w:szCs w:val="22"/>
        </w:rPr>
        <w:t xml:space="preserve">reeway </w:t>
      </w:r>
      <w:r w:rsidR="000D3529" w:rsidRPr="00923EE4">
        <w:rPr>
          <w:rFonts w:ascii="Arial" w:hAnsi="Arial" w:cs="Arial"/>
          <w:sz w:val="22"/>
          <w:szCs w:val="22"/>
        </w:rPr>
        <w:t>I</w:t>
      </w:r>
      <w:r w:rsidRPr="00923EE4">
        <w:rPr>
          <w:rFonts w:ascii="Arial" w:hAnsi="Arial" w:cs="Arial"/>
          <w:sz w:val="22"/>
          <w:szCs w:val="22"/>
        </w:rPr>
        <w:t xml:space="preserve">ncident </w:t>
      </w:r>
      <w:r w:rsidR="000D3529" w:rsidRPr="00923EE4">
        <w:rPr>
          <w:rFonts w:ascii="Arial" w:hAnsi="Arial" w:cs="Arial"/>
          <w:sz w:val="22"/>
          <w:szCs w:val="22"/>
        </w:rPr>
        <w:t>M</w:t>
      </w:r>
      <w:r w:rsidRPr="00923EE4">
        <w:rPr>
          <w:rFonts w:ascii="Arial" w:hAnsi="Arial" w:cs="Arial"/>
          <w:sz w:val="22"/>
          <w:szCs w:val="22"/>
        </w:rPr>
        <w:t>anagement</w:t>
      </w:r>
      <w:r w:rsidR="005A2A89" w:rsidRPr="00923EE4">
        <w:rPr>
          <w:rFonts w:ascii="Arial" w:hAnsi="Arial" w:cs="Arial"/>
          <w:sz w:val="22"/>
          <w:szCs w:val="22"/>
        </w:rPr>
        <w:t>; and</w:t>
      </w:r>
      <w:r w:rsidR="000D3529" w:rsidRPr="00923EE4">
        <w:rPr>
          <w:rFonts w:ascii="Arial" w:hAnsi="Arial" w:cs="Arial"/>
          <w:sz w:val="22"/>
          <w:szCs w:val="22"/>
        </w:rPr>
        <w:t>,</w:t>
      </w:r>
      <w:r w:rsidRPr="00923EE4">
        <w:rPr>
          <w:rFonts w:ascii="Arial" w:hAnsi="Arial" w:cs="Arial"/>
          <w:sz w:val="22"/>
          <w:szCs w:val="22"/>
        </w:rPr>
        <w:t xml:space="preserve"> </w:t>
      </w:r>
    </w:p>
    <w:p w:rsidR="0080385E" w:rsidRPr="00BB6B01" w:rsidRDefault="00ED556B" w:rsidP="00ED556B">
      <w:pPr>
        <w:tabs>
          <w:tab w:val="left" w:pos="346"/>
          <w:tab w:val="left" w:pos="677"/>
          <w:tab w:val="left" w:pos="1210"/>
          <w:tab w:val="left" w:pos="4680"/>
          <w:tab w:val="left" w:pos="5760"/>
          <w:tab w:val="left" w:pos="6480"/>
        </w:tabs>
        <w:rPr>
          <w:rFonts w:ascii="Arial" w:hAnsi="Arial" w:cs="Arial"/>
          <w:b/>
          <w:sz w:val="22"/>
        </w:rPr>
      </w:pPr>
      <w:r w:rsidRPr="00BB6B01">
        <w:rPr>
          <w:rFonts w:ascii="Arial" w:hAnsi="Arial" w:cs="Arial"/>
          <w:b/>
          <w:sz w:val="22"/>
        </w:rPr>
        <w:tab/>
      </w:r>
    </w:p>
    <w:p w:rsidR="00F80435" w:rsidRPr="00BB6B01" w:rsidRDefault="00F80435" w:rsidP="00F80435">
      <w:pPr>
        <w:tabs>
          <w:tab w:val="left" w:pos="855"/>
        </w:tabs>
        <w:ind w:firstLine="360"/>
        <w:rPr>
          <w:rFonts w:ascii="Arial" w:hAnsi="Arial" w:cs="Arial"/>
          <w:sz w:val="22"/>
          <w:szCs w:val="22"/>
        </w:rPr>
      </w:pPr>
      <w:r w:rsidRPr="00BB6B01">
        <w:rPr>
          <w:rFonts w:ascii="Arial" w:hAnsi="Arial" w:cs="Arial"/>
          <w:b/>
          <w:sz w:val="22"/>
          <w:szCs w:val="22"/>
        </w:rPr>
        <w:t>WHEREAS,</w:t>
      </w:r>
      <w:r w:rsidRPr="00BB6B01">
        <w:rPr>
          <w:rFonts w:ascii="Arial" w:hAnsi="Arial" w:cs="Arial"/>
          <w:sz w:val="22"/>
          <w:szCs w:val="22"/>
        </w:rPr>
        <w:t xml:space="preserve"> the goal of the NCTCOG Freeway Incident Management Training Program is to initiate a common, coordinated response to traffic incidents that will build partnerships, enhance safety for emergency personnel, reduce secondary traffic crashes, improve the efficiency of the transportation system, and improve air quality in the Dallas-Fort Worth region; and</w:t>
      </w:r>
      <w:r w:rsidR="000D3529">
        <w:rPr>
          <w:rFonts w:ascii="Arial" w:hAnsi="Arial" w:cs="Arial"/>
          <w:sz w:val="22"/>
          <w:szCs w:val="22"/>
        </w:rPr>
        <w:t>,</w:t>
      </w:r>
    </w:p>
    <w:p w:rsidR="00F80435" w:rsidRPr="00BB6B01" w:rsidRDefault="00F80435" w:rsidP="00F80435">
      <w:pPr>
        <w:tabs>
          <w:tab w:val="left" w:pos="855"/>
        </w:tabs>
        <w:ind w:firstLine="360"/>
        <w:rPr>
          <w:rFonts w:ascii="Arial" w:hAnsi="Arial" w:cs="Arial"/>
          <w:sz w:val="22"/>
          <w:szCs w:val="22"/>
        </w:rPr>
      </w:pPr>
    </w:p>
    <w:p w:rsidR="005A2A89" w:rsidRPr="00BB6B01" w:rsidRDefault="00ED556B" w:rsidP="005A2A89">
      <w:pPr>
        <w:tabs>
          <w:tab w:val="left" w:pos="855"/>
        </w:tabs>
        <w:ind w:firstLine="360"/>
        <w:rPr>
          <w:rFonts w:ascii="Arial" w:hAnsi="Arial" w:cs="Arial"/>
          <w:sz w:val="22"/>
        </w:rPr>
      </w:pPr>
      <w:r w:rsidRPr="00BB6B01">
        <w:rPr>
          <w:rFonts w:ascii="Arial" w:hAnsi="Arial" w:cs="Arial"/>
          <w:b/>
          <w:sz w:val="22"/>
        </w:rPr>
        <w:t xml:space="preserve">WHEREAS, </w:t>
      </w:r>
      <w:r w:rsidR="005A2A89" w:rsidRPr="00BB6B01">
        <w:rPr>
          <w:rFonts w:ascii="Arial" w:hAnsi="Arial" w:cs="Arial"/>
          <w:sz w:val="22"/>
        </w:rPr>
        <w:t>non-recurring traffic incidents are responsible for about 50 percent of all congestion and the secondary crashes caused by these incidents kill or injure hundreds annually in the Dallas-Fort Worth area; and</w:t>
      </w:r>
      <w:r w:rsidR="000D3529">
        <w:rPr>
          <w:rFonts w:ascii="Arial" w:hAnsi="Arial" w:cs="Arial"/>
          <w:sz w:val="22"/>
        </w:rPr>
        <w:t>,</w:t>
      </w:r>
      <w:r w:rsidR="005A2A89" w:rsidRPr="00BB6B01">
        <w:rPr>
          <w:rFonts w:ascii="Arial" w:hAnsi="Arial" w:cs="Arial"/>
          <w:sz w:val="22"/>
        </w:rPr>
        <w:t xml:space="preserve">  </w:t>
      </w:r>
    </w:p>
    <w:p w:rsidR="00ED556B" w:rsidRPr="00BB6B01" w:rsidRDefault="00ED556B">
      <w:pPr>
        <w:tabs>
          <w:tab w:val="left" w:pos="855"/>
        </w:tabs>
        <w:ind w:firstLine="360"/>
        <w:rPr>
          <w:rFonts w:ascii="Arial" w:hAnsi="Arial" w:cs="Arial"/>
          <w:b/>
          <w:bCs/>
          <w:sz w:val="24"/>
        </w:rPr>
      </w:pPr>
    </w:p>
    <w:p w:rsidR="00ED556B" w:rsidRPr="00BB6B01" w:rsidRDefault="00D541CF" w:rsidP="00ED556B">
      <w:pPr>
        <w:tabs>
          <w:tab w:val="left" w:pos="346"/>
          <w:tab w:val="left" w:pos="677"/>
          <w:tab w:val="left" w:pos="1210"/>
          <w:tab w:val="left" w:pos="4680"/>
          <w:tab w:val="left" w:pos="5760"/>
          <w:tab w:val="left" w:pos="6480"/>
        </w:tabs>
        <w:rPr>
          <w:rFonts w:ascii="Arial" w:hAnsi="Arial" w:cs="Arial"/>
          <w:sz w:val="22"/>
        </w:rPr>
      </w:pPr>
      <w:r>
        <w:rPr>
          <w:rFonts w:ascii="Arial" w:hAnsi="Arial" w:cs="Arial"/>
          <w:b/>
          <w:sz w:val="22"/>
        </w:rPr>
        <w:tab/>
      </w:r>
      <w:r w:rsidR="00ED556B" w:rsidRPr="00BB6B01">
        <w:rPr>
          <w:rFonts w:ascii="Arial" w:hAnsi="Arial" w:cs="Arial"/>
          <w:b/>
          <w:sz w:val="22"/>
        </w:rPr>
        <w:t xml:space="preserve">WHEREAS, </w:t>
      </w:r>
      <w:r w:rsidR="00ED556B" w:rsidRPr="00BB6B01">
        <w:rPr>
          <w:rFonts w:ascii="Arial" w:hAnsi="Arial" w:cs="Arial"/>
          <w:sz w:val="22"/>
        </w:rPr>
        <w:t>multi-agency coordination and the implementation of “best practices” Freeway Incident Management techniques reduce congestion on affected roadways and improve the safety of incident responders</w:t>
      </w:r>
      <w:r w:rsidR="00E53278" w:rsidRPr="00BB6B01">
        <w:rPr>
          <w:rFonts w:ascii="Arial" w:hAnsi="Arial" w:cs="Arial"/>
          <w:sz w:val="22"/>
        </w:rPr>
        <w:t>; and</w:t>
      </w:r>
      <w:r w:rsidR="000D3529">
        <w:rPr>
          <w:rFonts w:ascii="Arial" w:hAnsi="Arial" w:cs="Arial"/>
          <w:sz w:val="22"/>
        </w:rPr>
        <w:t>,</w:t>
      </w:r>
    </w:p>
    <w:p w:rsidR="00ED556B" w:rsidRPr="00BB6B01" w:rsidRDefault="00ED556B">
      <w:pPr>
        <w:tabs>
          <w:tab w:val="left" w:pos="855"/>
        </w:tabs>
        <w:ind w:firstLine="360"/>
        <w:rPr>
          <w:rFonts w:ascii="Arial" w:hAnsi="Arial" w:cs="Arial"/>
          <w:b/>
          <w:bCs/>
          <w:sz w:val="28"/>
        </w:rPr>
      </w:pPr>
    </w:p>
    <w:p w:rsidR="00ED556B" w:rsidRPr="00BB6B01" w:rsidRDefault="005A2A89">
      <w:pPr>
        <w:tabs>
          <w:tab w:val="left" w:pos="855"/>
        </w:tabs>
        <w:ind w:firstLine="360"/>
        <w:rPr>
          <w:rFonts w:ascii="Arial" w:hAnsi="Arial" w:cs="Arial"/>
          <w:sz w:val="22"/>
          <w:szCs w:val="22"/>
        </w:rPr>
      </w:pPr>
      <w:r w:rsidRPr="00BB6B01">
        <w:rPr>
          <w:rFonts w:ascii="Arial" w:hAnsi="Arial" w:cs="Arial"/>
          <w:b/>
          <w:sz w:val="22"/>
        </w:rPr>
        <w:t xml:space="preserve">WHEREAS, </w:t>
      </w:r>
      <w:r w:rsidRPr="00BB6B01">
        <w:rPr>
          <w:rFonts w:ascii="Arial" w:hAnsi="Arial" w:cs="Arial"/>
          <w:sz w:val="22"/>
        </w:rPr>
        <w:t xml:space="preserve">effective </w:t>
      </w:r>
      <w:r w:rsidR="00F80435" w:rsidRPr="00BB6B01">
        <w:rPr>
          <w:rFonts w:ascii="Arial" w:hAnsi="Arial" w:cs="Arial"/>
          <w:sz w:val="22"/>
        </w:rPr>
        <w:t xml:space="preserve">policies, </w:t>
      </w:r>
      <w:r w:rsidRPr="00BB6B01">
        <w:rPr>
          <w:rFonts w:ascii="Arial" w:hAnsi="Arial" w:cs="Arial"/>
          <w:sz w:val="22"/>
        </w:rPr>
        <w:t xml:space="preserve">training, </w:t>
      </w:r>
      <w:r w:rsidRPr="00BB6B01">
        <w:rPr>
          <w:rFonts w:ascii="Arial" w:hAnsi="Arial" w:cs="Arial"/>
          <w:sz w:val="22"/>
          <w:szCs w:val="22"/>
        </w:rPr>
        <w:t>e</w:t>
      </w:r>
      <w:r w:rsidR="00ED556B" w:rsidRPr="00BB6B01">
        <w:rPr>
          <w:rFonts w:ascii="Arial" w:hAnsi="Arial" w:cs="Arial"/>
          <w:sz w:val="22"/>
          <w:szCs w:val="22"/>
        </w:rPr>
        <w:t>quipment and technology that aid in quick incident clearance can both assist with keeping motorists and first responders safe on the roadway and assist in improved air quality for the region</w:t>
      </w:r>
      <w:r w:rsidR="00E53278" w:rsidRPr="00BB6B01">
        <w:rPr>
          <w:rFonts w:ascii="Arial" w:hAnsi="Arial" w:cs="Arial"/>
          <w:sz w:val="22"/>
          <w:szCs w:val="22"/>
        </w:rPr>
        <w:t>; and</w:t>
      </w:r>
      <w:r w:rsidR="000D3529">
        <w:rPr>
          <w:rFonts w:ascii="Arial" w:hAnsi="Arial" w:cs="Arial"/>
          <w:sz w:val="22"/>
          <w:szCs w:val="22"/>
        </w:rPr>
        <w:t>,</w:t>
      </w:r>
      <w:r w:rsidR="00E53278" w:rsidRPr="00BB6B01">
        <w:rPr>
          <w:rFonts w:ascii="Arial" w:hAnsi="Arial" w:cs="Arial"/>
          <w:sz w:val="22"/>
          <w:szCs w:val="22"/>
        </w:rPr>
        <w:t xml:space="preserve"> </w:t>
      </w:r>
      <w:r w:rsidR="00ED556B" w:rsidRPr="00BB6B01">
        <w:rPr>
          <w:rFonts w:ascii="Arial" w:hAnsi="Arial" w:cs="Arial"/>
          <w:sz w:val="22"/>
          <w:szCs w:val="22"/>
        </w:rPr>
        <w:t xml:space="preserve">  </w:t>
      </w:r>
    </w:p>
    <w:p w:rsidR="00ED556B" w:rsidRPr="00BB6B01" w:rsidRDefault="00ED556B">
      <w:pPr>
        <w:tabs>
          <w:tab w:val="left" w:pos="855"/>
        </w:tabs>
        <w:ind w:firstLine="360"/>
        <w:rPr>
          <w:rFonts w:ascii="Arial" w:hAnsi="Arial" w:cs="Arial"/>
        </w:rPr>
      </w:pPr>
    </w:p>
    <w:p w:rsidR="00ED556B" w:rsidRPr="00BB6B01" w:rsidRDefault="00E53278">
      <w:pPr>
        <w:tabs>
          <w:tab w:val="left" w:pos="855"/>
        </w:tabs>
        <w:ind w:firstLine="360"/>
        <w:rPr>
          <w:rFonts w:ascii="Arial" w:hAnsi="Arial" w:cs="Arial"/>
        </w:rPr>
      </w:pPr>
      <w:r w:rsidRPr="00BB6B01">
        <w:rPr>
          <w:rFonts w:ascii="Arial" w:hAnsi="Arial" w:cs="Arial"/>
          <w:b/>
          <w:sz w:val="22"/>
        </w:rPr>
        <w:t xml:space="preserve">WHEREAS, </w:t>
      </w:r>
      <w:r w:rsidRPr="00BB6B01">
        <w:rPr>
          <w:rFonts w:ascii="Arial" w:hAnsi="Arial" w:cs="Arial"/>
          <w:sz w:val="22"/>
        </w:rPr>
        <w:t>in partnership with regional incident response agencies, NCTCOG has established definitions for regional incident management performance measures</w:t>
      </w:r>
      <w:r w:rsidR="006F13C5" w:rsidRPr="00BB6B01">
        <w:rPr>
          <w:rFonts w:ascii="Arial" w:hAnsi="Arial" w:cs="Arial"/>
          <w:sz w:val="22"/>
        </w:rPr>
        <w:t>:</w:t>
      </w:r>
      <w:r w:rsidRPr="00BB6B01">
        <w:rPr>
          <w:rFonts w:ascii="Arial" w:hAnsi="Arial" w:cs="Arial"/>
          <w:sz w:val="22"/>
        </w:rPr>
        <w:t xml:space="preserve"> incident clearance time, roadway clearance time, secondary crash, and recovery time</w:t>
      </w:r>
      <w:r w:rsidR="000D3529">
        <w:rPr>
          <w:rFonts w:ascii="Arial" w:hAnsi="Arial" w:cs="Arial"/>
          <w:sz w:val="22"/>
        </w:rPr>
        <w:t>.</w:t>
      </w:r>
    </w:p>
    <w:p w:rsidR="0080385E" w:rsidRPr="00BB6B01" w:rsidRDefault="0080385E">
      <w:pPr>
        <w:tabs>
          <w:tab w:val="left" w:pos="855"/>
        </w:tabs>
        <w:ind w:firstLine="360"/>
        <w:rPr>
          <w:rFonts w:ascii="Arial" w:hAnsi="Arial" w:cs="Arial"/>
        </w:rPr>
      </w:pPr>
    </w:p>
    <w:p w:rsidR="00ED556B" w:rsidRPr="00BB6B01" w:rsidRDefault="00ED556B" w:rsidP="00ED556B">
      <w:pPr>
        <w:pStyle w:val="Default"/>
      </w:pPr>
    </w:p>
    <w:p w:rsidR="00C202B5" w:rsidRPr="00BB6B01" w:rsidRDefault="00C202B5">
      <w:pPr>
        <w:tabs>
          <w:tab w:val="left" w:pos="360"/>
          <w:tab w:val="left" w:pos="4680"/>
        </w:tabs>
        <w:rPr>
          <w:rFonts w:ascii="Arial" w:hAnsi="Arial"/>
          <w:b/>
          <w:sz w:val="22"/>
        </w:rPr>
      </w:pPr>
      <w:r w:rsidRPr="00BB6B01">
        <w:rPr>
          <w:rFonts w:ascii="Arial" w:hAnsi="Arial"/>
          <w:sz w:val="22"/>
        </w:rPr>
        <w:tab/>
      </w:r>
      <w:r w:rsidRPr="00BB6B01">
        <w:rPr>
          <w:rFonts w:ascii="Arial" w:hAnsi="Arial"/>
          <w:b/>
          <w:sz w:val="22"/>
        </w:rPr>
        <w:t>NOW, THEREFORE, BE IT HEREBY RESOLVED THAT:</w:t>
      </w:r>
    </w:p>
    <w:p w:rsidR="00C202B5" w:rsidRPr="00BB6B01" w:rsidRDefault="00C202B5">
      <w:pPr>
        <w:tabs>
          <w:tab w:val="left" w:pos="360"/>
          <w:tab w:val="left" w:pos="4680"/>
        </w:tabs>
        <w:rPr>
          <w:rFonts w:ascii="Arial" w:hAnsi="Arial"/>
          <w:sz w:val="22"/>
        </w:rPr>
      </w:pPr>
    </w:p>
    <w:p w:rsidR="00C202B5" w:rsidRPr="00BB6B01" w:rsidRDefault="00C202B5">
      <w:pPr>
        <w:pStyle w:val="BodyText"/>
        <w:tabs>
          <w:tab w:val="left" w:pos="2160"/>
        </w:tabs>
        <w:ind w:left="2160" w:hanging="2160"/>
        <w:rPr>
          <w:rFonts w:cs="Arial"/>
          <w:b/>
          <w:bCs/>
        </w:rPr>
      </w:pPr>
      <w:r w:rsidRPr="00BB6B01">
        <w:tab/>
      </w:r>
    </w:p>
    <w:p w:rsidR="00C202B5" w:rsidRPr="00BB6B01" w:rsidRDefault="00C202B5">
      <w:pPr>
        <w:pStyle w:val="BodyText"/>
        <w:tabs>
          <w:tab w:val="left" w:pos="2160"/>
        </w:tabs>
        <w:ind w:left="2160" w:hanging="2160"/>
        <w:rPr>
          <w:rFonts w:cs="Arial"/>
        </w:rPr>
      </w:pPr>
      <w:r w:rsidRPr="00BB6B01">
        <w:rPr>
          <w:rFonts w:cs="Arial"/>
          <w:b/>
          <w:bCs/>
        </w:rPr>
        <w:tab/>
      </w:r>
      <w:r w:rsidR="005658D0" w:rsidRPr="00BB6B01">
        <w:rPr>
          <w:rFonts w:cs="Arial"/>
          <w:b/>
          <w:bCs/>
        </w:rPr>
        <w:t>Section 1</w:t>
      </w:r>
      <w:r w:rsidR="00936BC5" w:rsidRPr="00BB6B01">
        <w:rPr>
          <w:rFonts w:cs="Arial"/>
          <w:b/>
          <w:bCs/>
        </w:rPr>
        <w:t>.</w:t>
      </w:r>
      <w:r w:rsidR="009F1529">
        <w:rPr>
          <w:rFonts w:cs="Arial"/>
          <w:b/>
          <w:bCs/>
        </w:rPr>
        <w:tab/>
      </w:r>
      <w:r w:rsidR="0084470B" w:rsidRPr="00BB6B01">
        <w:rPr>
          <w:rFonts w:cs="Arial"/>
          <w:bCs/>
        </w:rPr>
        <w:t>(</w:t>
      </w:r>
      <w:r w:rsidR="00936BC5" w:rsidRPr="00BB6B01">
        <w:t xml:space="preserve">The </w:t>
      </w:r>
      <w:r w:rsidR="0084470B" w:rsidRPr="00BB6B01">
        <w:rPr>
          <w:rFonts w:cs="Arial"/>
        </w:rPr>
        <w:t>Jurisdiction</w:t>
      </w:r>
      <w:r w:rsidR="00936BC5" w:rsidRPr="00BB6B01">
        <w:t xml:space="preserve">) </w:t>
      </w:r>
      <w:r w:rsidR="005419D4" w:rsidRPr="00BB6B01">
        <w:t xml:space="preserve">supports a comprehensive, coordinated, interagency approach to </w:t>
      </w:r>
      <w:r w:rsidR="00AA3A59">
        <w:t>F</w:t>
      </w:r>
      <w:r w:rsidR="005419D4" w:rsidRPr="00BB6B01">
        <w:t xml:space="preserve">reeway </w:t>
      </w:r>
      <w:r w:rsidR="00AA3A59">
        <w:t>I</w:t>
      </w:r>
      <w:r w:rsidR="005419D4" w:rsidRPr="00BB6B01">
        <w:t xml:space="preserve">ncident </w:t>
      </w:r>
      <w:r w:rsidR="00AA3A59">
        <w:t>M</w:t>
      </w:r>
      <w:r w:rsidR="005419D4" w:rsidRPr="00BB6B01">
        <w:t>anagement</w:t>
      </w:r>
      <w:r w:rsidR="00E53278" w:rsidRPr="00BB6B01">
        <w:rPr>
          <w:rFonts w:cs="Arial"/>
        </w:rPr>
        <w:t xml:space="preserve">. </w:t>
      </w:r>
    </w:p>
    <w:p w:rsidR="005658D0" w:rsidRPr="00BB6B01" w:rsidRDefault="005658D0">
      <w:pPr>
        <w:pStyle w:val="BodyText"/>
        <w:tabs>
          <w:tab w:val="left" w:pos="2160"/>
        </w:tabs>
        <w:ind w:left="2160" w:hanging="2160"/>
        <w:rPr>
          <w:rFonts w:cs="Arial"/>
          <w:b/>
          <w:bCs/>
        </w:rPr>
      </w:pPr>
    </w:p>
    <w:p w:rsidR="005419D4" w:rsidRPr="00BB6B01" w:rsidRDefault="003821C6" w:rsidP="003821C6">
      <w:pPr>
        <w:pStyle w:val="BodyText"/>
        <w:tabs>
          <w:tab w:val="left" w:pos="2160"/>
        </w:tabs>
        <w:ind w:left="2160" w:hanging="2160"/>
        <w:rPr>
          <w:rFonts w:cs="Arial"/>
        </w:rPr>
      </w:pPr>
      <w:r>
        <w:rPr>
          <w:rFonts w:cs="Arial"/>
          <w:b/>
        </w:rPr>
        <w:tab/>
      </w:r>
      <w:r w:rsidR="005658D0" w:rsidRPr="00BB6B01">
        <w:rPr>
          <w:rFonts w:cs="Arial"/>
          <w:b/>
        </w:rPr>
        <w:t>Section 2.</w:t>
      </w:r>
      <w:r w:rsidR="005658D0" w:rsidRPr="00BB6B01">
        <w:rPr>
          <w:rFonts w:cs="Arial"/>
        </w:rPr>
        <w:tab/>
      </w:r>
      <w:r w:rsidR="0084470B" w:rsidRPr="00BB6B01">
        <w:rPr>
          <w:rFonts w:cs="Arial"/>
          <w:bCs/>
        </w:rPr>
        <w:t>(</w:t>
      </w:r>
      <w:r w:rsidR="0084470B" w:rsidRPr="00BB6B01">
        <w:rPr>
          <w:rFonts w:cs="Arial"/>
        </w:rPr>
        <w:t>The Jurisdiction)</w:t>
      </w:r>
      <w:r w:rsidR="005658D0" w:rsidRPr="00BB6B01">
        <w:rPr>
          <w:rFonts w:cs="Arial"/>
        </w:rPr>
        <w:t xml:space="preserve"> </w:t>
      </w:r>
      <w:r w:rsidR="005419D4" w:rsidRPr="00BB6B01">
        <w:rPr>
          <w:rFonts w:cs="Arial"/>
        </w:rPr>
        <w:t>supports the quick detection and clearance of traffic incidents using state-of-the-art traffic surveillance, traveler notification, and crash investigation equipment</w:t>
      </w:r>
      <w:r w:rsidR="00E53278" w:rsidRPr="00BB6B01">
        <w:rPr>
          <w:rFonts w:cs="Arial"/>
        </w:rPr>
        <w:t>.</w:t>
      </w:r>
    </w:p>
    <w:p w:rsidR="005658D0" w:rsidRPr="00BB6B01" w:rsidRDefault="005658D0" w:rsidP="005658D0">
      <w:pPr>
        <w:pStyle w:val="BodyText"/>
        <w:tabs>
          <w:tab w:val="left" w:pos="2160"/>
        </w:tabs>
        <w:ind w:left="2160" w:hanging="2160"/>
      </w:pPr>
    </w:p>
    <w:p w:rsidR="00C202B5" w:rsidRPr="00BB6B01" w:rsidRDefault="003821C6" w:rsidP="003821C6">
      <w:pPr>
        <w:pStyle w:val="BodyText"/>
        <w:tabs>
          <w:tab w:val="left" w:pos="2160"/>
        </w:tabs>
        <w:ind w:left="2160" w:hanging="2160"/>
        <w:rPr>
          <w:rFonts w:cs="Arial"/>
        </w:rPr>
      </w:pPr>
      <w:r>
        <w:rPr>
          <w:rFonts w:cs="Arial"/>
        </w:rPr>
        <w:tab/>
      </w:r>
      <w:r w:rsidR="00C202B5" w:rsidRPr="003821C6">
        <w:rPr>
          <w:rFonts w:cs="Arial"/>
          <w:b/>
        </w:rPr>
        <w:t>Section 3</w:t>
      </w:r>
      <w:r w:rsidR="00C202B5" w:rsidRPr="003821C6">
        <w:rPr>
          <w:rFonts w:cs="Arial"/>
        </w:rPr>
        <w:t>.</w:t>
      </w:r>
      <w:r w:rsidR="00C202B5" w:rsidRPr="003821C6">
        <w:rPr>
          <w:rFonts w:cs="Arial"/>
        </w:rPr>
        <w:tab/>
      </w:r>
      <w:r w:rsidR="00F80435" w:rsidRPr="003821C6">
        <w:rPr>
          <w:rFonts w:cs="Arial"/>
        </w:rPr>
        <w:t>(</w:t>
      </w:r>
      <w:r w:rsidR="00F80435" w:rsidRPr="00BB6B01">
        <w:rPr>
          <w:rFonts w:cs="Arial"/>
        </w:rPr>
        <w:t xml:space="preserve">The Jurisdiction) </w:t>
      </w:r>
      <w:r w:rsidR="005419D4" w:rsidRPr="00BB6B01">
        <w:rPr>
          <w:rFonts w:cs="Arial"/>
        </w:rPr>
        <w:t xml:space="preserve">encourages all personnel involved in </w:t>
      </w:r>
      <w:r w:rsidR="004419C2">
        <w:rPr>
          <w:rFonts w:cs="Arial"/>
        </w:rPr>
        <w:t>F</w:t>
      </w:r>
      <w:r w:rsidR="005419D4" w:rsidRPr="00BB6B01">
        <w:rPr>
          <w:rFonts w:cs="Arial"/>
        </w:rPr>
        <w:t xml:space="preserve">reeway </w:t>
      </w:r>
      <w:r w:rsidR="004419C2">
        <w:rPr>
          <w:rFonts w:cs="Arial"/>
        </w:rPr>
        <w:t>I</w:t>
      </w:r>
      <w:r w:rsidR="005419D4" w:rsidRPr="00BB6B01">
        <w:rPr>
          <w:rFonts w:cs="Arial"/>
        </w:rPr>
        <w:t xml:space="preserve">ncident </w:t>
      </w:r>
      <w:r w:rsidR="004419C2">
        <w:rPr>
          <w:rFonts w:cs="Arial"/>
        </w:rPr>
        <w:t>M</w:t>
      </w:r>
      <w:r w:rsidR="005419D4" w:rsidRPr="00BB6B01">
        <w:rPr>
          <w:rFonts w:cs="Arial"/>
        </w:rPr>
        <w:t>anagement to participate in available training opportunities and exercises that promote the objectives within this resolution—a common, comprehensive approach that maintains the safety of incident responders and travelers, while minimizing clearance time.</w:t>
      </w:r>
    </w:p>
    <w:p w:rsidR="005419D4" w:rsidRPr="00BB6B01" w:rsidRDefault="003821C6" w:rsidP="003821C6">
      <w:pPr>
        <w:pStyle w:val="BodyText"/>
        <w:tabs>
          <w:tab w:val="left" w:pos="2160"/>
        </w:tabs>
        <w:ind w:left="2160" w:hanging="2160"/>
        <w:rPr>
          <w:rFonts w:cs="Arial"/>
        </w:rPr>
      </w:pPr>
      <w:r>
        <w:rPr>
          <w:rFonts w:cs="Arial"/>
          <w:b/>
        </w:rPr>
        <w:lastRenderedPageBreak/>
        <w:tab/>
      </w:r>
      <w:r w:rsidR="005419D4" w:rsidRPr="00BB6B01">
        <w:rPr>
          <w:rFonts w:cs="Arial"/>
          <w:b/>
        </w:rPr>
        <w:t>Section 4.</w:t>
      </w:r>
      <w:r w:rsidR="005419D4" w:rsidRPr="00BB6B01">
        <w:rPr>
          <w:rFonts w:cs="Arial"/>
        </w:rPr>
        <w:tab/>
      </w:r>
      <w:r w:rsidR="0084470B" w:rsidRPr="00BB6B01">
        <w:rPr>
          <w:rFonts w:cs="Arial"/>
          <w:bCs/>
        </w:rPr>
        <w:t>(</w:t>
      </w:r>
      <w:r w:rsidR="0084470B" w:rsidRPr="00BB6B01">
        <w:rPr>
          <w:rFonts w:cs="Arial"/>
        </w:rPr>
        <w:t>The Jurisdiction)</w:t>
      </w:r>
      <w:r w:rsidR="005419D4" w:rsidRPr="00BB6B01">
        <w:rPr>
          <w:rFonts w:cs="Arial"/>
        </w:rPr>
        <w:t xml:space="preserve"> supports an enhanced </w:t>
      </w:r>
      <w:r w:rsidR="004419C2">
        <w:rPr>
          <w:rFonts w:cs="Arial"/>
        </w:rPr>
        <w:t>G</w:t>
      </w:r>
      <w:r w:rsidR="005419D4" w:rsidRPr="00BB6B01">
        <w:rPr>
          <w:rFonts w:cs="Arial"/>
        </w:rPr>
        <w:t xml:space="preserve">eographic </w:t>
      </w:r>
      <w:r w:rsidR="004419C2">
        <w:rPr>
          <w:rFonts w:cs="Arial"/>
        </w:rPr>
        <w:t>I</w:t>
      </w:r>
      <w:r w:rsidR="005419D4" w:rsidRPr="00BB6B01">
        <w:rPr>
          <w:rFonts w:cs="Arial"/>
        </w:rPr>
        <w:t xml:space="preserve">nformation </w:t>
      </w:r>
      <w:r w:rsidR="004419C2">
        <w:rPr>
          <w:rFonts w:cs="Arial"/>
        </w:rPr>
        <w:t>S</w:t>
      </w:r>
      <w:r w:rsidR="005419D4" w:rsidRPr="00BB6B01">
        <w:rPr>
          <w:rFonts w:cs="Arial"/>
        </w:rPr>
        <w:t>ystems</w:t>
      </w:r>
      <w:bookmarkStart w:id="0" w:name="_GoBack"/>
      <w:bookmarkEnd w:id="0"/>
      <w:r w:rsidR="005419D4" w:rsidRPr="00BB6B01">
        <w:rPr>
          <w:rFonts w:cs="Arial"/>
        </w:rPr>
        <w:t xml:space="preserve"> (GIS) based incident location system that will aid incident reporters and responders in the timely detection and verification of incidents</w:t>
      </w:r>
      <w:r w:rsidR="00E53278" w:rsidRPr="00BB6B01">
        <w:rPr>
          <w:rFonts w:cs="Arial"/>
        </w:rPr>
        <w:t>.</w:t>
      </w:r>
    </w:p>
    <w:p w:rsidR="005419D4" w:rsidRPr="00BB6B01" w:rsidRDefault="005419D4" w:rsidP="005419D4">
      <w:pPr>
        <w:pStyle w:val="Header"/>
      </w:pPr>
    </w:p>
    <w:p w:rsidR="005419D4" w:rsidRPr="003821C6" w:rsidRDefault="003821C6" w:rsidP="003821C6">
      <w:pPr>
        <w:pStyle w:val="BodyText"/>
        <w:tabs>
          <w:tab w:val="left" w:pos="2160"/>
        </w:tabs>
        <w:ind w:left="2160" w:hanging="2160"/>
        <w:rPr>
          <w:rFonts w:cs="Arial"/>
        </w:rPr>
      </w:pPr>
      <w:r>
        <w:rPr>
          <w:rFonts w:cs="Arial"/>
          <w:b/>
          <w:szCs w:val="22"/>
        </w:rPr>
        <w:tab/>
      </w:r>
      <w:r w:rsidR="005419D4" w:rsidRPr="007876B4">
        <w:rPr>
          <w:rFonts w:cs="Arial"/>
          <w:b/>
          <w:szCs w:val="22"/>
        </w:rPr>
        <w:t>Section 5.</w:t>
      </w:r>
      <w:r w:rsidR="005419D4" w:rsidRPr="007876B4">
        <w:rPr>
          <w:rFonts w:cs="Arial"/>
          <w:szCs w:val="22"/>
        </w:rPr>
        <w:tab/>
      </w:r>
      <w:r w:rsidR="0084470B" w:rsidRPr="007876B4">
        <w:rPr>
          <w:rFonts w:cs="Arial"/>
          <w:bCs/>
          <w:szCs w:val="22"/>
        </w:rPr>
        <w:t>(</w:t>
      </w:r>
      <w:r w:rsidR="0084470B" w:rsidRPr="007876B4">
        <w:rPr>
          <w:rFonts w:cs="Arial"/>
          <w:szCs w:val="22"/>
        </w:rPr>
        <w:t xml:space="preserve">The Jurisdiction) </w:t>
      </w:r>
      <w:r w:rsidR="005419D4" w:rsidRPr="007876B4">
        <w:rPr>
          <w:rFonts w:cs="Arial"/>
          <w:szCs w:val="22"/>
        </w:rPr>
        <w:t>supports a uniform policy whereby law enforcement agency personnel may remove personal property from a roadway or right-of-way, without the consent of the owner or carrier of the property, if the agency determines that the property blocks the roadway or endangers public safety</w:t>
      </w:r>
      <w:r w:rsidR="00E53278" w:rsidRPr="007876B4">
        <w:rPr>
          <w:rFonts w:cs="Arial"/>
          <w:szCs w:val="22"/>
        </w:rPr>
        <w:t>.</w:t>
      </w:r>
    </w:p>
    <w:p w:rsidR="005419D4" w:rsidRPr="007876B4" w:rsidRDefault="005419D4" w:rsidP="005419D4">
      <w:pPr>
        <w:pStyle w:val="BodyText"/>
        <w:rPr>
          <w:rFonts w:cs="Arial"/>
          <w:szCs w:val="22"/>
        </w:rPr>
      </w:pPr>
    </w:p>
    <w:p w:rsidR="005419D4" w:rsidRPr="004419C2" w:rsidRDefault="003821C6" w:rsidP="003821C6">
      <w:pPr>
        <w:pStyle w:val="BodyText"/>
        <w:tabs>
          <w:tab w:val="left" w:pos="2160"/>
        </w:tabs>
        <w:ind w:left="2160" w:hanging="2160"/>
        <w:rPr>
          <w:rFonts w:cs="Arial"/>
          <w:szCs w:val="22"/>
        </w:rPr>
      </w:pPr>
      <w:r>
        <w:rPr>
          <w:rFonts w:cs="Arial"/>
          <w:b/>
          <w:szCs w:val="22"/>
        </w:rPr>
        <w:tab/>
      </w:r>
      <w:r w:rsidR="005419D4" w:rsidRPr="00BB6B01">
        <w:rPr>
          <w:rFonts w:cs="Arial"/>
          <w:b/>
          <w:szCs w:val="22"/>
        </w:rPr>
        <w:t>Section 6.</w:t>
      </w:r>
      <w:r w:rsidR="005419D4" w:rsidRPr="00BB6B01">
        <w:rPr>
          <w:rFonts w:cs="Arial"/>
          <w:szCs w:val="22"/>
        </w:rPr>
        <w:tab/>
      </w:r>
      <w:r w:rsidR="0084470B" w:rsidRPr="004419C2">
        <w:rPr>
          <w:rFonts w:cs="Arial"/>
          <w:bCs/>
          <w:szCs w:val="22"/>
        </w:rPr>
        <w:t>(</w:t>
      </w:r>
      <w:r w:rsidR="0084470B" w:rsidRPr="004419C2">
        <w:rPr>
          <w:rFonts w:cs="Arial"/>
          <w:szCs w:val="22"/>
        </w:rPr>
        <w:t xml:space="preserve">The Jurisdiction) </w:t>
      </w:r>
      <w:r w:rsidR="00777C0A" w:rsidRPr="004419C2">
        <w:rPr>
          <w:rFonts w:cs="Arial"/>
          <w:szCs w:val="22"/>
        </w:rPr>
        <w:t xml:space="preserve">supports </w:t>
      </w:r>
      <w:r w:rsidR="005419D4" w:rsidRPr="004419C2">
        <w:rPr>
          <w:rFonts w:cs="Arial"/>
          <w:szCs w:val="22"/>
        </w:rPr>
        <w:t>adopt</w:t>
      </w:r>
      <w:r w:rsidR="00777C0A" w:rsidRPr="004419C2">
        <w:rPr>
          <w:rFonts w:cs="Arial"/>
          <w:szCs w:val="22"/>
        </w:rPr>
        <w:t>ing</w:t>
      </w:r>
      <w:r w:rsidR="005419D4" w:rsidRPr="004419C2">
        <w:rPr>
          <w:rFonts w:cs="Arial"/>
          <w:szCs w:val="22"/>
        </w:rPr>
        <w:t xml:space="preserve"> a </w:t>
      </w:r>
      <w:r w:rsidR="00777C0A" w:rsidRPr="004419C2">
        <w:rPr>
          <w:rFonts w:cs="Arial"/>
          <w:szCs w:val="22"/>
        </w:rPr>
        <w:t xml:space="preserve">quick clearance policy or </w:t>
      </w:r>
      <w:r w:rsidR="005419D4" w:rsidRPr="004419C2">
        <w:rPr>
          <w:rFonts w:cs="Arial"/>
          <w:szCs w:val="22"/>
        </w:rPr>
        <w:t>towing ordinance that mandates the arrival of appropriate equipment within a specified time limit</w:t>
      </w:r>
      <w:r w:rsidR="00E53278" w:rsidRPr="004419C2">
        <w:rPr>
          <w:rFonts w:cs="Arial"/>
          <w:szCs w:val="22"/>
        </w:rPr>
        <w:t>.</w:t>
      </w:r>
      <w:r w:rsidR="005419D4" w:rsidRPr="004419C2">
        <w:rPr>
          <w:rFonts w:cs="Arial"/>
          <w:szCs w:val="22"/>
        </w:rPr>
        <w:t xml:space="preserve"> </w:t>
      </w:r>
    </w:p>
    <w:p w:rsidR="005419D4" w:rsidRPr="00BB6B01" w:rsidRDefault="005419D4" w:rsidP="005419D4">
      <w:pPr>
        <w:pStyle w:val="BodyText"/>
        <w:rPr>
          <w:rFonts w:cs="Arial"/>
          <w:szCs w:val="22"/>
        </w:rPr>
      </w:pPr>
    </w:p>
    <w:p w:rsidR="00777C0A" w:rsidRPr="003821C6" w:rsidRDefault="003821C6" w:rsidP="003821C6">
      <w:pPr>
        <w:pStyle w:val="BodyText"/>
        <w:tabs>
          <w:tab w:val="left" w:pos="2160"/>
        </w:tabs>
        <w:ind w:left="2160" w:hanging="2160"/>
        <w:rPr>
          <w:rFonts w:cs="Arial"/>
        </w:rPr>
      </w:pPr>
      <w:r>
        <w:rPr>
          <w:rFonts w:cs="Arial"/>
          <w:b/>
          <w:szCs w:val="22"/>
        </w:rPr>
        <w:tab/>
      </w:r>
      <w:r w:rsidR="00E53278" w:rsidRPr="00BB6B01">
        <w:rPr>
          <w:rFonts w:cs="Arial"/>
          <w:b/>
          <w:szCs w:val="22"/>
        </w:rPr>
        <w:t>Section 7.</w:t>
      </w:r>
      <w:r w:rsidR="00E53278" w:rsidRPr="00BB6B01">
        <w:rPr>
          <w:rFonts w:cs="Arial"/>
          <w:szCs w:val="22"/>
        </w:rPr>
        <w:tab/>
      </w:r>
      <w:r w:rsidR="0084470B" w:rsidRPr="00BB6B01">
        <w:rPr>
          <w:rFonts w:cs="Arial"/>
          <w:bCs/>
          <w:szCs w:val="22"/>
        </w:rPr>
        <w:t>(</w:t>
      </w:r>
      <w:r w:rsidR="0084470B" w:rsidRPr="00BB6B01">
        <w:rPr>
          <w:rFonts w:cs="Arial"/>
          <w:szCs w:val="22"/>
        </w:rPr>
        <w:t>The Jurisdiction)</w:t>
      </w:r>
      <w:r w:rsidR="00E53278" w:rsidRPr="00BB6B01">
        <w:rPr>
          <w:rFonts w:cs="Arial"/>
          <w:szCs w:val="22"/>
        </w:rPr>
        <w:t xml:space="preserve"> </w:t>
      </w:r>
      <w:r w:rsidR="00777C0A" w:rsidRPr="00BB6B01">
        <w:rPr>
          <w:rFonts w:cs="Arial"/>
          <w:szCs w:val="22"/>
        </w:rPr>
        <w:t>supports the use and tracking of regional incident management performance measures.</w:t>
      </w:r>
    </w:p>
    <w:p w:rsidR="00777C0A" w:rsidRPr="00BB6B01" w:rsidRDefault="00777C0A" w:rsidP="00E53278">
      <w:pPr>
        <w:ind w:left="1870" w:hanging="1540"/>
        <w:rPr>
          <w:rFonts w:ascii="Arial" w:hAnsi="Arial" w:cs="Arial"/>
          <w:sz w:val="22"/>
          <w:szCs w:val="22"/>
        </w:rPr>
      </w:pPr>
    </w:p>
    <w:p w:rsidR="00777C0A" w:rsidRPr="003821C6" w:rsidRDefault="003821C6" w:rsidP="003821C6">
      <w:pPr>
        <w:pStyle w:val="BodyText"/>
        <w:tabs>
          <w:tab w:val="left" w:pos="2160"/>
        </w:tabs>
        <w:ind w:left="2160" w:hanging="2160"/>
        <w:rPr>
          <w:rFonts w:cs="Arial"/>
        </w:rPr>
      </w:pPr>
      <w:r>
        <w:rPr>
          <w:rFonts w:cs="Arial"/>
          <w:b/>
          <w:szCs w:val="22"/>
        </w:rPr>
        <w:tab/>
      </w:r>
      <w:r w:rsidR="00777C0A" w:rsidRPr="00BB6B01">
        <w:rPr>
          <w:rFonts w:cs="Arial"/>
          <w:b/>
          <w:szCs w:val="22"/>
        </w:rPr>
        <w:t>Section 8.</w:t>
      </w:r>
      <w:r w:rsidR="00777C0A" w:rsidRPr="00BB6B01">
        <w:rPr>
          <w:rFonts w:cs="Arial"/>
          <w:szCs w:val="22"/>
        </w:rPr>
        <w:tab/>
      </w:r>
      <w:r w:rsidR="0084470B" w:rsidRPr="00BB6B01">
        <w:rPr>
          <w:rFonts w:cs="Arial"/>
          <w:bCs/>
          <w:szCs w:val="22"/>
        </w:rPr>
        <w:t>(</w:t>
      </w:r>
      <w:r w:rsidR="0084470B" w:rsidRPr="00BB6B01">
        <w:rPr>
          <w:rFonts w:cs="Arial"/>
          <w:szCs w:val="22"/>
        </w:rPr>
        <w:t>The Jurisdiction)</w:t>
      </w:r>
      <w:r w:rsidR="00777C0A" w:rsidRPr="00BB6B01">
        <w:rPr>
          <w:rFonts w:cs="Arial"/>
          <w:szCs w:val="22"/>
        </w:rPr>
        <w:t xml:space="preserve"> supports the </w:t>
      </w:r>
      <w:r w:rsidR="00EE3CF1" w:rsidRPr="00BB6B01">
        <w:rPr>
          <w:rFonts w:cs="Arial"/>
          <w:szCs w:val="22"/>
        </w:rPr>
        <w:t>development of interagency agreements for incident management operations</w:t>
      </w:r>
      <w:r w:rsidR="00262547" w:rsidRPr="00BB6B01">
        <w:rPr>
          <w:rFonts w:cs="Arial"/>
          <w:szCs w:val="22"/>
        </w:rPr>
        <w:t xml:space="preserve"> that include safe, quick clearance goals stated as time goals for incident clearance</w:t>
      </w:r>
      <w:r w:rsidR="00EE3CF1" w:rsidRPr="00BB6B01">
        <w:rPr>
          <w:rFonts w:cs="Arial"/>
          <w:szCs w:val="22"/>
        </w:rPr>
        <w:t>.</w:t>
      </w:r>
    </w:p>
    <w:p w:rsidR="00E53278" w:rsidRPr="00BB6B01" w:rsidRDefault="00E53278" w:rsidP="005419D4">
      <w:pPr>
        <w:pStyle w:val="BodyText"/>
        <w:ind w:left="1870" w:hanging="1540"/>
        <w:rPr>
          <w:rFonts w:cs="Arial"/>
          <w:b/>
          <w:bCs/>
          <w:szCs w:val="22"/>
        </w:rPr>
      </w:pPr>
    </w:p>
    <w:p w:rsidR="00262547" w:rsidRPr="00BB6B01" w:rsidRDefault="003821C6" w:rsidP="003821C6">
      <w:pPr>
        <w:pStyle w:val="BodyText"/>
        <w:tabs>
          <w:tab w:val="left" w:pos="2160"/>
        </w:tabs>
        <w:ind w:left="2160" w:hanging="2160"/>
        <w:rPr>
          <w:rFonts w:cs="Arial"/>
          <w:szCs w:val="22"/>
        </w:rPr>
      </w:pPr>
      <w:r>
        <w:rPr>
          <w:rFonts w:cs="Arial"/>
          <w:b/>
          <w:szCs w:val="22"/>
        </w:rPr>
        <w:tab/>
      </w:r>
      <w:r w:rsidR="00262547" w:rsidRPr="00BB6B01">
        <w:rPr>
          <w:rFonts w:cs="Arial"/>
          <w:b/>
          <w:szCs w:val="22"/>
        </w:rPr>
        <w:t>Section 9.</w:t>
      </w:r>
      <w:r w:rsidR="00262547" w:rsidRPr="00BB6B01">
        <w:rPr>
          <w:rFonts w:cs="Arial"/>
          <w:szCs w:val="22"/>
        </w:rPr>
        <w:tab/>
      </w:r>
      <w:r w:rsidR="0084470B" w:rsidRPr="00BB6B01">
        <w:rPr>
          <w:rFonts w:cs="Arial"/>
          <w:bCs/>
          <w:szCs w:val="22"/>
        </w:rPr>
        <w:t>(</w:t>
      </w:r>
      <w:r w:rsidR="0084470B" w:rsidRPr="00BB6B01">
        <w:rPr>
          <w:rFonts w:cs="Arial"/>
          <w:szCs w:val="22"/>
        </w:rPr>
        <w:t>The Jurisdiction)</w:t>
      </w:r>
      <w:r w:rsidR="00262547" w:rsidRPr="00BB6B01">
        <w:rPr>
          <w:rFonts w:cs="Arial"/>
          <w:szCs w:val="22"/>
        </w:rPr>
        <w:t xml:space="preserve"> supports participation in multi-disciplinary post incident reviews after major incidents to share lessons learned.</w:t>
      </w:r>
    </w:p>
    <w:p w:rsidR="00E53278" w:rsidRPr="00BB6B01" w:rsidRDefault="00E53278" w:rsidP="005419D4">
      <w:pPr>
        <w:pStyle w:val="BodyText"/>
        <w:ind w:left="1870" w:hanging="1540"/>
        <w:rPr>
          <w:rFonts w:cs="Arial"/>
          <w:b/>
          <w:bCs/>
          <w:szCs w:val="22"/>
        </w:rPr>
      </w:pPr>
    </w:p>
    <w:p w:rsidR="005419D4" w:rsidRPr="007876B4" w:rsidRDefault="003821C6" w:rsidP="003821C6">
      <w:pPr>
        <w:pStyle w:val="BodyText"/>
        <w:tabs>
          <w:tab w:val="left" w:pos="2160"/>
        </w:tabs>
        <w:ind w:left="2160" w:hanging="2160"/>
        <w:rPr>
          <w:rFonts w:cs="Arial"/>
          <w:bCs/>
          <w:szCs w:val="22"/>
        </w:rPr>
      </w:pPr>
      <w:r>
        <w:rPr>
          <w:rFonts w:cs="Arial"/>
          <w:b/>
          <w:bCs/>
          <w:szCs w:val="22"/>
        </w:rPr>
        <w:tab/>
      </w:r>
      <w:r w:rsidR="005419D4" w:rsidRPr="007876B4">
        <w:rPr>
          <w:rFonts w:cs="Arial"/>
          <w:b/>
          <w:bCs/>
          <w:szCs w:val="22"/>
        </w:rPr>
        <w:t xml:space="preserve">Section </w:t>
      </w:r>
      <w:r w:rsidR="00D86360" w:rsidRPr="007876B4">
        <w:rPr>
          <w:rFonts w:cs="Arial"/>
          <w:b/>
          <w:bCs/>
          <w:szCs w:val="22"/>
        </w:rPr>
        <w:t>10</w:t>
      </w:r>
      <w:r w:rsidR="005419D4" w:rsidRPr="007876B4">
        <w:rPr>
          <w:rFonts w:cs="Arial"/>
          <w:b/>
          <w:bCs/>
          <w:szCs w:val="22"/>
        </w:rPr>
        <w:t>.</w:t>
      </w:r>
      <w:r w:rsidR="005419D4" w:rsidRPr="007876B4">
        <w:rPr>
          <w:rFonts w:cs="Arial"/>
          <w:bCs/>
          <w:szCs w:val="22"/>
        </w:rPr>
        <w:tab/>
      </w:r>
      <w:r w:rsidR="0084470B" w:rsidRPr="007876B4">
        <w:rPr>
          <w:rFonts w:cs="Arial"/>
          <w:bCs/>
          <w:szCs w:val="22"/>
        </w:rPr>
        <w:t>(The Jurisdiction)</w:t>
      </w:r>
      <w:r w:rsidR="005419D4" w:rsidRPr="007876B4">
        <w:rPr>
          <w:rFonts w:cs="Arial"/>
          <w:bCs/>
          <w:szCs w:val="22"/>
        </w:rPr>
        <w:t xml:space="preserve"> supports consistent, coordinated operational strategies for major freeway and toll road projects that include quick incident clearance practices, and that these strategies </w:t>
      </w:r>
      <w:r w:rsidR="009C176A" w:rsidRPr="007876B4">
        <w:rPr>
          <w:rFonts w:cs="Arial"/>
          <w:bCs/>
          <w:szCs w:val="22"/>
        </w:rPr>
        <w:t xml:space="preserve">will </w:t>
      </w:r>
      <w:r w:rsidR="005419D4" w:rsidRPr="007876B4">
        <w:rPr>
          <w:rFonts w:cs="Arial"/>
          <w:bCs/>
          <w:szCs w:val="22"/>
        </w:rPr>
        <w:t>be consistently adopted prior to major freeway and toll road improvement expenditures in order to ensure that the expected mobility benefits are realized.</w:t>
      </w:r>
    </w:p>
    <w:p w:rsidR="005419D4" w:rsidRPr="00BB6B01" w:rsidRDefault="005419D4" w:rsidP="005419D4">
      <w:pPr>
        <w:rPr>
          <w:rFonts w:ascii="Arial" w:hAnsi="Arial" w:cs="Arial"/>
          <w:sz w:val="22"/>
          <w:szCs w:val="22"/>
        </w:rPr>
      </w:pPr>
    </w:p>
    <w:p w:rsidR="00D86360" w:rsidRPr="00BB6B01" w:rsidRDefault="003821C6" w:rsidP="003821C6">
      <w:pPr>
        <w:pStyle w:val="BodyText"/>
        <w:tabs>
          <w:tab w:val="left" w:pos="2160"/>
        </w:tabs>
        <w:ind w:left="2160" w:hanging="2160"/>
        <w:rPr>
          <w:rFonts w:cs="Arial"/>
        </w:rPr>
      </w:pPr>
      <w:r>
        <w:rPr>
          <w:rFonts w:cs="Arial"/>
          <w:b/>
          <w:bCs/>
        </w:rPr>
        <w:tab/>
      </w:r>
      <w:r w:rsidR="00D86360" w:rsidRPr="00BB6B01">
        <w:rPr>
          <w:rFonts w:cs="Arial"/>
          <w:b/>
          <w:bCs/>
        </w:rPr>
        <w:t>Section 11.</w:t>
      </w:r>
      <w:r w:rsidR="00D86360" w:rsidRPr="00BB6B01">
        <w:rPr>
          <w:rFonts w:cs="Arial"/>
          <w:b/>
          <w:bCs/>
        </w:rPr>
        <w:tab/>
      </w:r>
      <w:r w:rsidRPr="003821C6">
        <w:rPr>
          <w:rFonts w:cs="Arial"/>
          <w:bCs/>
        </w:rPr>
        <w:t>(</w:t>
      </w:r>
      <w:r w:rsidR="00D86360" w:rsidRPr="00BB6B01">
        <w:rPr>
          <w:rFonts w:cs="Arial"/>
        </w:rPr>
        <w:t>Please include any additional sections, language, elements, or attachments necessary to fulfill local point of view or local requirements</w:t>
      </w:r>
      <w:r w:rsidR="008577FF" w:rsidRPr="00BB6B01">
        <w:rPr>
          <w:rFonts w:cs="Arial"/>
        </w:rPr>
        <w:t xml:space="preserve">.  </w:t>
      </w:r>
      <w:r w:rsidR="00D86360" w:rsidRPr="00BB6B01">
        <w:rPr>
          <w:rFonts w:cs="Arial"/>
        </w:rPr>
        <w:t>Should include language about any formal partnerships as well if applicable.</w:t>
      </w:r>
      <w:r>
        <w:rPr>
          <w:rFonts w:cs="Arial"/>
        </w:rPr>
        <w:t>)</w:t>
      </w:r>
      <w:r w:rsidR="00D86360" w:rsidRPr="00BB6B01">
        <w:rPr>
          <w:rFonts w:cs="Arial"/>
        </w:rPr>
        <w:t xml:space="preserve"> </w:t>
      </w:r>
    </w:p>
    <w:p w:rsidR="00F80435" w:rsidRPr="00BB6B01" w:rsidRDefault="00F80435" w:rsidP="00D86360">
      <w:pPr>
        <w:pStyle w:val="BodyText"/>
        <w:tabs>
          <w:tab w:val="left" w:pos="2160"/>
        </w:tabs>
        <w:ind w:left="2160" w:hanging="2160"/>
      </w:pPr>
    </w:p>
    <w:p w:rsidR="00A42705" w:rsidRPr="003821C6" w:rsidRDefault="003821C6" w:rsidP="007876B4">
      <w:pPr>
        <w:pStyle w:val="BodyText"/>
        <w:tabs>
          <w:tab w:val="left" w:pos="2160"/>
        </w:tabs>
        <w:ind w:left="2160" w:hanging="2160"/>
        <w:rPr>
          <w:rFonts w:cs="Arial"/>
        </w:rPr>
      </w:pPr>
      <w:r>
        <w:rPr>
          <w:rFonts w:cs="Arial"/>
          <w:b/>
          <w:szCs w:val="22"/>
        </w:rPr>
        <w:tab/>
      </w:r>
      <w:r w:rsidR="00A42705" w:rsidRPr="00BB6B01">
        <w:rPr>
          <w:rFonts w:cs="Arial"/>
          <w:b/>
          <w:szCs w:val="22"/>
        </w:rPr>
        <w:t>Section 12.</w:t>
      </w:r>
      <w:r w:rsidR="00A42705" w:rsidRPr="00BB6B01">
        <w:rPr>
          <w:rFonts w:cs="Arial"/>
          <w:szCs w:val="22"/>
        </w:rPr>
        <w:tab/>
      </w:r>
      <w:r w:rsidR="00CA4365" w:rsidRPr="00BB6B01">
        <w:rPr>
          <w:rFonts w:cs="Arial"/>
          <w:szCs w:val="22"/>
        </w:rPr>
        <w:t>(</w:t>
      </w:r>
      <w:r w:rsidR="00A42705" w:rsidRPr="00BB6B01">
        <w:rPr>
          <w:rFonts w:cs="Arial"/>
          <w:szCs w:val="22"/>
        </w:rPr>
        <w:t>The Governing Body of the Jurisdiction</w:t>
      </w:r>
      <w:r w:rsidR="00CA4365" w:rsidRPr="00BB6B01">
        <w:rPr>
          <w:rFonts w:cs="Arial"/>
          <w:szCs w:val="22"/>
        </w:rPr>
        <w:t>)</w:t>
      </w:r>
      <w:r w:rsidR="00A42705" w:rsidRPr="00BB6B01">
        <w:rPr>
          <w:rFonts w:cs="Arial"/>
          <w:szCs w:val="22"/>
        </w:rPr>
        <w:t xml:space="preserve"> directs staff to develop and bring forth a set of policies </w:t>
      </w:r>
      <w:r w:rsidR="00CA4365" w:rsidRPr="00BB6B01">
        <w:rPr>
          <w:rFonts w:cs="Arial"/>
          <w:szCs w:val="22"/>
        </w:rPr>
        <w:t xml:space="preserve">and/or ordinance consistent with the </w:t>
      </w:r>
      <w:r w:rsidR="00A42705" w:rsidRPr="00BB6B01">
        <w:rPr>
          <w:rFonts w:cs="Arial"/>
          <w:szCs w:val="22"/>
        </w:rPr>
        <w:t>principles contained herein</w:t>
      </w:r>
      <w:r w:rsidR="00CA4365" w:rsidRPr="00BB6B01">
        <w:rPr>
          <w:rFonts w:cs="Arial"/>
          <w:szCs w:val="22"/>
        </w:rPr>
        <w:t xml:space="preserve"> for the (Governing Body’s) consideration.</w:t>
      </w:r>
    </w:p>
    <w:p w:rsidR="00A42705" w:rsidRPr="00BB6B01" w:rsidRDefault="00A42705" w:rsidP="005419D4">
      <w:pPr>
        <w:tabs>
          <w:tab w:val="left" w:pos="346"/>
          <w:tab w:val="left" w:pos="677"/>
          <w:tab w:val="left" w:pos="1210"/>
          <w:tab w:val="left" w:pos="4680"/>
          <w:tab w:val="left" w:pos="5760"/>
          <w:tab w:val="left" w:pos="6480"/>
        </w:tabs>
        <w:ind w:left="1870" w:hanging="1540"/>
        <w:rPr>
          <w:rFonts w:ascii="Arial" w:hAnsi="Arial" w:cs="Arial"/>
          <w:b/>
          <w:sz w:val="22"/>
          <w:szCs w:val="22"/>
        </w:rPr>
      </w:pPr>
    </w:p>
    <w:p w:rsidR="005419D4" w:rsidRPr="003821C6" w:rsidRDefault="003821C6" w:rsidP="007876B4">
      <w:pPr>
        <w:pStyle w:val="BodyText"/>
        <w:tabs>
          <w:tab w:val="left" w:pos="2160"/>
        </w:tabs>
        <w:ind w:left="2160" w:hanging="2160"/>
        <w:rPr>
          <w:rFonts w:cs="Arial"/>
        </w:rPr>
      </w:pPr>
      <w:r>
        <w:rPr>
          <w:rFonts w:cs="Arial"/>
          <w:b/>
          <w:szCs w:val="22"/>
        </w:rPr>
        <w:tab/>
      </w:r>
      <w:r w:rsidR="00D86360" w:rsidRPr="00BB6B01">
        <w:rPr>
          <w:rFonts w:cs="Arial"/>
          <w:b/>
          <w:szCs w:val="22"/>
        </w:rPr>
        <w:t>Section 1</w:t>
      </w:r>
      <w:r w:rsidR="00A42705" w:rsidRPr="00BB6B01">
        <w:rPr>
          <w:rFonts w:cs="Arial"/>
          <w:b/>
          <w:szCs w:val="22"/>
        </w:rPr>
        <w:t>3</w:t>
      </w:r>
      <w:r w:rsidR="005419D4" w:rsidRPr="00BB6B01">
        <w:rPr>
          <w:rFonts w:cs="Arial"/>
          <w:b/>
          <w:szCs w:val="22"/>
        </w:rPr>
        <w:t>.</w:t>
      </w:r>
      <w:r w:rsidR="005419D4" w:rsidRPr="00BB6B01">
        <w:rPr>
          <w:rFonts w:cs="Arial"/>
          <w:szCs w:val="22"/>
        </w:rPr>
        <w:tab/>
        <w:t>That this resolution shall be in effect immediately upon its adoption.</w:t>
      </w:r>
    </w:p>
    <w:p w:rsidR="00F80435" w:rsidRPr="00BB6B01" w:rsidRDefault="00F80435" w:rsidP="00F80435">
      <w:pPr>
        <w:spacing w:after="200" w:line="276" w:lineRule="auto"/>
        <w:ind w:left="720"/>
        <w:rPr>
          <w:rFonts w:ascii="Arial" w:hAnsi="Arial" w:cs="Arial"/>
          <w:sz w:val="22"/>
          <w:szCs w:val="22"/>
        </w:rPr>
      </w:pPr>
    </w:p>
    <w:p w:rsidR="00F80435" w:rsidRPr="00BB6B01" w:rsidRDefault="00F80435" w:rsidP="00F80435">
      <w:pPr>
        <w:spacing w:after="200" w:line="276" w:lineRule="auto"/>
        <w:ind w:left="720"/>
        <w:rPr>
          <w:rFonts w:ascii="Arial" w:hAnsi="Arial" w:cs="Arial"/>
          <w:sz w:val="22"/>
          <w:szCs w:val="22"/>
        </w:rPr>
      </w:pPr>
      <w:r w:rsidRPr="00BB6B01">
        <w:rPr>
          <w:rFonts w:ascii="Arial" w:hAnsi="Arial" w:cs="Arial"/>
          <w:sz w:val="22"/>
          <w:szCs w:val="22"/>
        </w:rPr>
        <w:t xml:space="preserve">I hereby certify that this </w:t>
      </w:r>
      <w:r w:rsidR="005E47B0" w:rsidRPr="00BB6B01">
        <w:rPr>
          <w:rFonts w:ascii="Arial" w:hAnsi="Arial" w:cs="Arial"/>
          <w:sz w:val="22"/>
          <w:szCs w:val="22"/>
        </w:rPr>
        <w:t>resolution</w:t>
      </w:r>
      <w:r w:rsidRPr="00BB6B01">
        <w:rPr>
          <w:rFonts w:ascii="Arial" w:hAnsi="Arial" w:cs="Arial"/>
          <w:sz w:val="22"/>
          <w:szCs w:val="22"/>
        </w:rPr>
        <w:t xml:space="preserve"> was adopted by </w:t>
      </w:r>
      <w:r w:rsidRPr="00BB6B01">
        <w:rPr>
          <w:rFonts w:ascii="Arial" w:hAnsi="Arial" w:cs="Arial"/>
          <w:i/>
          <w:sz w:val="22"/>
          <w:szCs w:val="22"/>
        </w:rPr>
        <w:t>[Jurisdiction]</w:t>
      </w:r>
      <w:r w:rsidRPr="00BB6B01">
        <w:rPr>
          <w:rFonts w:ascii="Arial" w:hAnsi="Arial" w:cs="Arial"/>
          <w:sz w:val="22"/>
          <w:szCs w:val="22"/>
        </w:rPr>
        <w:t xml:space="preserve"> on </w:t>
      </w:r>
      <w:r w:rsidRPr="00BB6B01">
        <w:rPr>
          <w:rFonts w:ascii="Arial" w:hAnsi="Arial" w:cs="Arial"/>
          <w:i/>
          <w:sz w:val="22"/>
          <w:szCs w:val="22"/>
        </w:rPr>
        <w:t>[date]</w:t>
      </w:r>
      <w:r w:rsidRPr="00BB6B01">
        <w:rPr>
          <w:rFonts w:ascii="Arial" w:hAnsi="Arial" w:cs="Arial"/>
          <w:sz w:val="22"/>
          <w:szCs w:val="22"/>
        </w:rPr>
        <w:t xml:space="preserve">. </w:t>
      </w:r>
    </w:p>
    <w:p w:rsidR="00F80435" w:rsidRPr="00BB6B01" w:rsidRDefault="00F80435" w:rsidP="00F80435">
      <w:pPr>
        <w:spacing w:after="200" w:line="276" w:lineRule="auto"/>
        <w:rPr>
          <w:rFonts w:ascii="Arial" w:hAnsi="Arial" w:cs="Arial"/>
          <w:sz w:val="22"/>
          <w:szCs w:val="22"/>
        </w:rPr>
      </w:pPr>
    </w:p>
    <w:p w:rsidR="00F80435" w:rsidRPr="00BB6B01" w:rsidRDefault="00F80435" w:rsidP="00F80435">
      <w:pPr>
        <w:spacing w:line="276" w:lineRule="auto"/>
        <w:jc w:val="right"/>
        <w:rPr>
          <w:rFonts w:ascii="Arial" w:hAnsi="Arial" w:cs="Arial"/>
          <w:sz w:val="22"/>
          <w:szCs w:val="22"/>
        </w:rPr>
      </w:pPr>
      <w:r w:rsidRPr="00BB6B01">
        <w:rPr>
          <w:rFonts w:ascii="Arial" w:hAnsi="Arial" w:cs="Arial"/>
          <w:sz w:val="22"/>
          <w:szCs w:val="22"/>
        </w:rPr>
        <w:t>_________________________</w:t>
      </w:r>
    </w:p>
    <w:p w:rsidR="00F80435" w:rsidRPr="00BB6B01" w:rsidRDefault="00F80435" w:rsidP="00F80435">
      <w:pPr>
        <w:spacing w:line="276" w:lineRule="auto"/>
        <w:jc w:val="right"/>
        <w:rPr>
          <w:rFonts w:ascii="Arial" w:hAnsi="Arial" w:cs="Arial"/>
          <w:i/>
          <w:sz w:val="22"/>
          <w:szCs w:val="22"/>
        </w:rPr>
      </w:pPr>
      <w:r w:rsidRPr="00BB6B01">
        <w:rPr>
          <w:rFonts w:ascii="Arial" w:hAnsi="Arial" w:cs="Arial"/>
          <w:i/>
          <w:sz w:val="22"/>
          <w:szCs w:val="22"/>
        </w:rPr>
        <w:t>[Name], [Title]</w:t>
      </w:r>
    </w:p>
    <w:p w:rsidR="00D86360" w:rsidRPr="00BB6B01" w:rsidRDefault="00F80435" w:rsidP="00C37EC3">
      <w:pPr>
        <w:spacing w:line="276" w:lineRule="auto"/>
        <w:jc w:val="right"/>
      </w:pPr>
      <w:r w:rsidRPr="00BB6B01">
        <w:rPr>
          <w:rFonts w:ascii="Arial" w:hAnsi="Arial" w:cs="Arial"/>
          <w:i/>
          <w:sz w:val="22"/>
          <w:szCs w:val="22"/>
        </w:rPr>
        <w:t>[Jurisdiction]</w:t>
      </w:r>
      <w:r w:rsidR="00C37EC3" w:rsidRPr="00BB6B01">
        <w:t xml:space="preserve"> </w:t>
      </w:r>
    </w:p>
    <w:sectPr w:rsidR="00D86360" w:rsidRPr="00BB6B01" w:rsidSect="00671AC2">
      <w:headerReference w:type="default" r:id="rId8"/>
      <w:pgSz w:w="12240" w:h="15840"/>
      <w:pgMar w:top="1440" w:right="1440" w:bottom="1440" w:left="1440"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2F3" w:rsidRDefault="006E22F3" w:rsidP="00671AC2">
      <w:r>
        <w:separator/>
      </w:r>
    </w:p>
  </w:endnote>
  <w:endnote w:type="continuationSeparator" w:id="0">
    <w:p w:rsidR="006E22F3" w:rsidRDefault="006E22F3" w:rsidP="0067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2F3" w:rsidRDefault="006E22F3" w:rsidP="00671AC2">
      <w:r>
        <w:separator/>
      </w:r>
    </w:p>
  </w:footnote>
  <w:footnote w:type="continuationSeparator" w:id="0">
    <w:p w:rsidR="006E22F3" w:rsidRDefault="006E22F3" w:rsidP="0067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04" w:rsidRPr="00671AC2" w:rsidRDefault="00185EFF" w:rsidP="00671AC2">
    <w:pPr>
      <w:pStyle w:val="Header"/>
      <w:tabs>
        <w:tab w:val="clear" w:pos="9360"/>
      </w:tabs>
      <w:ind w:right="-360"/>
      <w:jc w:val="center"/>
      <w:rPr>
        <w:rFonts w:ascii="Arial" w:hAnsi="Arial" w:cs="Arial"/>
      </w:rPr>
    </w:pPr>
    <w:sdt>
      <w:sdtPr>
        <w:rPr>
          <w:rFonts w:ascii="Arial" w:hAnsi="Arial" w:cs="Arial"/>
          <w:sz w:val="24"/>
          <w:szCs w:val="24"/>
        </w:rPr>
        <w:id w:val="-1188370395"/>
        <w:docPartObj>
          <w:docPartGallery w:val="Watermarks"/>
          <w:docPartUnique/>
        </w:docPartObj>
      </w:sdtPr>
      <w:sdtEndPr/>
      <w:sdtContent>
        <w:r>
          <w:rPr>
            <w:rFonts w:ascii="Arial" w:hAnsi="Arial" w:cs="Arial"/>
            <w:noProof/>
            <w:sz w:val="24"/>
            <w:szCs w:val="24"/>
          </w:rPr>
          <w:pict w14:anchorId="7734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C28B5"/>
    <w:multiLevelType w:val="hybridMultilevel"/>
    <w:tmpl w:val="82F09CB8"/>
    <w:lvl w:ilvl="0" w:tplc="D74864F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14F0C3A"/>
    <w:multiLevelType w:val="hybridMultilevel"/>
    <w:tmpl w:val="312E410E"/>
    <w:lvl w:ilvl="0" w:tplc="F31299C2">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10"/>
    <w:rsid w:val="000065F5"/>
    <w:rsid w:val="000110DF"/>
    <w:rsid w:val="000173CE"/>
    <w:rsid w:val="000A6244"/>
    <w:rsid w:val="000B223B"/>
    <w:rsid w:val="000B6B53"/>
    <w:rsid w:val="000D3529"/>
    <w:rsid w:val="00121DAB"/>
    <w:rsid w:val="00126F04"/>
    <w:rsid w:val="00166EDA"/>
    <w:rsid w:val="00176297"/>
    <w:rsid w:val="00185EFF"/>
    <w:rsid w:val="001D0D9F"/>
    <w:rsid w:val="0025489C"/>
    <w:rsid w:val="00262547"/>
    <w:rsid w:val="002A1673"/>
    <w:rsid w:val="002A282D"/>
    <w:rsid w:val="002C556E"/>
    <w:rsid w:val="003024E5"/>
    <w:rsid w:val="00306CD8"/>
    <w:rsid w:val="00316FAE"/>
    <w:rsid w:val="00341426"/>
    <w:rsid w:val="00350D21"/>
    <w:rsid w:val="00361D06"/>
    <w:rsid w:val="003821C6"/>
    <w:rsid w:val="003835D9"/>
    <w:rsid w:val="003952D3"/>
    <w:rsid w:val="003B01C4"/>
    <w:rsid w:val="003B14DB"/>
    <w:rsid w:val="003D7F96"/>
    <w:rsid w:val="003F425F"/>
    <w:rsid w:val="00400310"/>
    <w:rsid w:val="004415F0"/>
    <w:rsid w:val="004419C2"/>
    <w:rsid w:val="00454889"/>
    <w:rsid w:val="004711F0"/>
    <w:rsid w:val="00497A2F"/>
    <w:rsid w:val="004A543B"/>
    <w:rsid w:val="00516079"/>
    <w:rsid w:val="00525E9D"/>
    <w:rsid w:val="00531C5F"/>
    <w:rsid w:val="005419D4"/>
    <w:rsid w:val="00552502"/>
    <w:rsid w:val="005658D0"/>
    <w:rsid w:val="005913B1"/>
    <w:rsid w:val="005913D3"/>
    <w:rsid w:val="005A2A89"/>
    <w:rsid w:val="005E33FA"/>
    <w:rsid w:val="005E47B0"/>
    <w:rsid w:val="00607DAD"/>
    <w:rsid w:val="00646FCE"/>
    <w:rsid w:val="00657574"/>
    <w:rsid w:val="00671AC2"/>
    <w:rsid w:val="006761C4"/>
    <w:rsid w:val="006803EB"/>
    <w:rsid w:val="006B74B3"/>
    <w:rsid w:val="006D3E04"/>
    <w:rsid w:val="006E22F3"/>
    <w:rsid w:val="006F13C5"/>
    <w:rsid w:val="0071642F"/>
    <w:rsid w:val="00755A99"/>
    <w:rsid w:val="00777C0A"/>
    <w:rsid w:val="007876B4"/>
    <w:rsid w:val="007D462C"/>
    <w:rsid w:val="007D6048"/>
    <w:rsid w:val="007E2177"/>
    <w:rsid w:val="0080385E"/>
    <w:rsid w:val="0080461E"/>
    <w:rsid w:val="00813DB5"/>
    <w:rsid w:val="00824AAD"/>
    <w:rsid w:val="00826ED3"/>
    <w:rsid w:val="0084470B"/>
    <w:rsid w:val="00853C43"/>
    <w:rsid w:val="008577FF"/>
    <w:rsid w:val="00865B71"/>
    <w:rsid w:val="00874DE2"/>
    <w:rsid w:val="00881926"/>
    <w:rsid w:val="008874A7"/>
    <w:rsid w:val="00893D28"/>
    <w:rsid w:val="008E17B0"/>
    <w:rsid w:val="00912874"/>
    <w:rsid w:val="00923EE4"/>
    <w:rsid w:val="00936BC5"/>
    <w:rsid w:val="009C176A"/>
    <w:rsid w:val="009F1529"/>
    <w:rsid w:val="009F6332"/>
    <w:rsid w:val="00A42705"/>
    <w:rsid w:val="00A4608E"/>
    <w:rsid w:val="00A468E2"/>
    <w:rsid w:val="00A47061"/>
    <w:rsid w:val="00A53795"/>
    <w:rsid w:val="00A61505"/>
    <w:rsid w:val="00A71ECE"/>
    <w:rsid w:val="00AA3A59"/>
    <w:rsid w:val="00AD53B1"/>
    <w:rsid w:val="00AD5759"/>
    <w:rsid w:val="00B02C8C"/>
    <w:rsid w:val="00B2006D"/>
    <w:rsid w:val="00B3778A"/>
    <w:rsid w:val="00B5230A"/>
    <w:rsid w:val="00B72D7E"/>
    <w:rsid w:val="00B93AAA"/>
    <w:rsid w:val="00BB6B01"/>
    <w:rsid w:val="00BE5185"/>
    <w:rsid w:val="00C202B5"/>
    <w:rsid w:val="00C37EC3"/>
    <w:rsid w:val="00C51295"/>
    <w:rsid w:val="00C529AA"/>
    <w:rsid w:val="00C83C9E"/>
    <w:rsid w:val="00CA4365"/>
    <w:rsid w:val="00CD556F"/>
    <w:rsid w:val="00D001C0"/>
    <w:rsid w:val="00D016BF"/>
    <w:rsid w:val="00D37AAE"/>
    <w:rsid w:val="00D405BF"/>
    <w:rsid w:val="00D541CF"/>
    <w:rsid w:val="00D63780"/>
    <w:rsid w:val="00D765D9"/>
    <w:rsid w:val="00D86360"/>
    <w:rsid w:val="00E141B2"/>
    <w:rsid w:val="00E45519"/>
    <w:rsid w:val="00E52CB8"/>
    <w:rsid w:val="00E53278"/>
    <w:rsid w:val="00E85D71"/>
    <w:rsid w:val="00EB00D4"/>
    <w:rsid w:val="00EC27C9"/>
    <w:rsid w:val="00EC36C9"/>
    <w:rsid w:val="00ED3E45"/>
    <w:rsid w:val="00ED556B"/>
    <w:rsid w:val="00EE3CF1"/>
    <w:rsid w:val="00EE5E7C"/>
    <w:rsid w:val="00F21D65"/>
    <w:rsid w:val="00F651CF"/>
    <w:rsid w:val="00F67AD9"/>
    <w:rsid w:val="00F77E93"/>
    <w:rsid w:val="00F80435"/>
    <w:rsid w:val="00F92D8E"/>
    <w:rsid w:val="00FB2F65"/>
    <w:rsid w:val="00FF14FE"/>
    <w:rsid w:val="00FF5E8E"/>
    <w:rsid w:val="00FF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285E421-4710-452A-ACCC-05ED1B4B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17B0"/>
    <w:pPr>
      <w:tabs>
        <w:tab w:val="left" w:pos="360"/>
        <w:tab w:val="left" w:pos="4680"/>
      </w:tabs>
    </w:pPr>
    <w:rPr>
      <w:rFonts w:ascii="Arial" w:hAnsi="Arial"/>
      <w:sz w:val="22"/>
    </w:rPr>
  </w:style>
  <w:style w:type="paragraph" w:styleId="Title">
    <w:name w:val="Title"/>
    <w:basedOn w:val="Normal"/>
    <w:qFormat/>
    <w:rsid w:val="008E17B0"/>
    <w:pPr>
      <w:jc w:val="center"/>
    </w:pPr>
    <w:rPr>
      <w:rFonts w:ascii="Arial" w:hAnsi="Arial"/>
      <w:b/>
      <w:bCs/>
      <w:sz w:val="28"/>
      <w:szCs w:val="24"/>
    </w:rPr>
  </w:style>
  <w:style w:type="paragraph" w:styleId="Header">
    <w:name w:val="header"/>
    <w:basedOn w:val="Normal"/>
    <w:link w:val="HeaderChar"/>
    <w:rsid w:val="00671AC2"/>
    <w:pPr>
      <w:tabs>
        <w:tab w:val="center" w:pos="4680"/>
        <w:tab w:val="right" w:pos="9360"/>
      </w:tabs>
    </w:pPr>
  </w:style>
  <w:style w:type="character" w:customStyle="1" w:styleId="HeaderChar">
    <w:name w:val="Header Char"/>
    <w:basedOn w:val="DefaultParagraphFont"/>
    <w:link w:val="Header"/>
    <w:rsid w:val="00671AC2"/>
  </w:style>
  <w:style w:type="paragraph" w:styleId="Footer">
    <w:name w:val="footer"/>
    <w:basedOn w:val="Normal"/>
    <w:link w:val="FooterChar"/>
    <w:rsid w:val="00671AC2"/>
    <w:pPr>
      <w:tabs>
        <w:tab w:val="center" w:pos="4680"/>
        <w:tab w:val="right" w:pos="9360"/>
      </w:tabs>
    </w:pPr>
  </w:style>
  <w:style w:type="character" w:customStyle="1" w:styleId="FooterChar">
    <w:name w:val="Footer Char"/>
    <w:basedOn w:val="DefaultParagraphFont"/>
    <w:link w:val="Footer"/>
    <w:rsid w:val="00671AC2"/>
  </w:style>
  <w:style w:type="paragraph" w:styleId="BalloonText">
    <w:name w:val="Balloon Text"/>
    <w:basedOn w:val="Normal"/>
    <w:link w:val="BalloonTextChar"/>
    <w:rsid w:val="00671AC2"/>
    <w:rPr>
      <w:rFonts w:ascii="Tahoma" w:hAnsi="Tahoma" w:cs="Tahoma"/>
      <w:sz w:val="16"/>
      <w:szCs w:val="16"/>
    </w:rPr>
  </w:style>
  <w:style w:type="character" w:customStyle="1" w:styleId="BalloonTextChar">
    <w:name w:val="Balloon Text Char"/>
    <w:basedOn w:val="DefaultParagraphFont"/>
    <w:link w:val="BalloonText"/>
    <w:rsid w:val="00671AC2"/>
    <w:rPr>
      <w:rFonts w:ascii="Tahoma" w:hAnsi="Tahoma" w:cs="Tahoma"/>
      <w:sz w:val="16"/>
      <w:szCs w:val="16"/>
    </w:rPr>
  </w:style>
  <w:style w:type="character" w:styleId="CommentReference">
    <w:name w:val="annotation reference"/>
    <w:basedOn w:val="DefaultParagraphFont"/>
    <w:rsid w:val="004415F0"/>
    <w:rPr>
      <w:sz w:val="16"/>
      <w:szCs w:val="16"/>
    </w:rPr>
  </w:style>
  <w:style w:type="paragraph" w:styleId="CommentText">
    <w:name w:val="annotation text"/>
    <w:basedOn w:val="Normal"/>
    <w:link w:val="CommentTextChar"/>
    <w:rsid w:val="004415F0"/>
  </w:style>
  <w:style w:type="character" w:customStyle="1" w:styleId="CommentTextChar">
    <w:name w:val="Comment Text Char"/>
    <w:basedOn w:val="DefaultParagraphFont"/>
    <w:link w:val="CommentText"/>
    <w:rsid w:val="004415F0"/>
  </w:style>
  <w:style w:type="paragraph" w:styleId="CommentSubject">
    <w:name w:val="annotation subject"/>
    <w:basedOn w:val="CommentText"/>
    <w:next w:val="CommentText"/>
    <w:link w:val="CommentSubjectChar"/>
    <w:rsid w:val="004415F0"/>
    <w:rPr>
      <w:b/>
      <w:bCs/>
    </w:rPr>
  </w:style>
  <w:style w:type="character" w:customStyle="1" w:styleId="CommentSubjectChar">
    <w:name w:val="Comment Subject Char"/>
    <w:basedOn w:val="CommentTextChar"/>
    <w:link w:val="CommentSubject"/>
    <w:rsid w:val="004415F0"/>
    <w:rPr>
      <w:b/>
      <w:bCs/>
    </w:rPr>
  </w:style>
  <w:style w:type="paragraph" w:customStyle="1" w:styleId="Default">
    <w:name w:val="Default"/>
    <w:rsid w:val="00ED55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41047">
      <w:bodyDiv w:val="1"/>
      <w:marLeft w:val="0"/>
      <w:marRight w:val="0"/>
      <w:marTop w:val="0"/>
      <w:marBottom w:val="0"/>
      <w:divBdr>
        <w:top w:val="none" w:sz="0" w:space="0" w:color="auto"/>
        <w:left w:val="none" w:sz="0" w:space="0" w:color="auto"/>
        <w:bottom w:val="none" w:sz="0" w:space="0" w:color="auto"/>
        <w:right w:val="none" w:sz="0" w:space="0" w:color="auto"/>
      </w:divBdr>
    </w:div>
    <w:div w:id="7313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F128-38CE-4235-B827-71246410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RESOLUTION ADOPTING</vt:lpstr>
    </vt:vector>
  </TitlesOfParts>
  <Company>NCTCOG-Trans</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ADOPTING</dc:title>
  <dc:subject/>
  <dc:creator>lsmith</dc:creator>
  <cp:keywords/>
  <dc:description/>
  <cp:lastModifiedBy>Barbara Walsh</cp:lastModifiedBy>
  <cp:revision>2</cp:revision>
  <cp:lastPrinted>2014-05-20T21:23:00Z</cp:lastPrinted>
  <dcterms:created xsi:type="dcterms:W3CDTF">2014-06-03T15:02:00Z</dcterms:created>
  <dcterms:modified xsi:type="dcterms:W3CDTF">2014-06-03T15:02:00Z</dcterms:modified>
</cp:coreProperties>
</file>