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44B2B3E4" w:rsidR="00427A2F" w:rsidRPr="008C1953" w:rsidRDefault="00427A2F" w:rsidP="00427A2F">
      <w:pPr>
        <w:pStyle w:val="CoverDate"/>
        <w:ind w:left="0"/>
        <w:jc w:val="center"/>
        <w:rPr>
          <w:rFonts w:ascii="Century Gothic" w:hAnsi="Century Gothic"/>
          <w:b/>
          <w:color w:val="1F4E79" w:themeColor="accent5" w:themeShade="80"/>
          <w:sz w:val="72"/>
          <w:szCs w:val="72"/>
        </w:rPr>
      </w:pPr>
      <w:r w:rsidRPr="008C1953">
        <w:rPr>
          <w:rFonts w:ascii="Century Gothic" w:hAnsi="Century Gothic"/>
          <w:b/>
          <w:color w:val="1F4E79" w:themeColor="accent5" w:themeShade="80"/>
          <w:sz w:val="72"/>
          <w:szCs w:val="72"/>
        </w:rPr>
        <w:t>Incident Response</w:t>
      </w:r>
      <w:r w:rsidR="00B6395F">
        <w:rPr>
          <w:rFonts w:ascii="Century Gothic" w:hAnsi="Century Gothic"/>
          <w:b/>
          <w:color w:val="1F4E79" w:themeColor="accent5" w:themeShade="80"/>
          <w:sz w:val="72"/>
          <w:szCs w:val="72"/>
        </w:rPr>
        <w:t xml:space="preserve"> Documents Overview</w:t>
      </w:r>
    </w:p>
    <w:p w14:paraId="1FD31FFE" w14:textId="38C8D6B0" w:rsidR="00427A2F" w:rsidRPr="008C1953" w:rsidRDefault="00EE6A82"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6C0EF9">
        <w:rPr>
          <w:rFonts w:ascii="Century Gothic" w:hAnsi="Century Gothic"/>
          <w:color w:val="1F4E79" w:themeColor="accent5" w:themeShade="80"/>
          <w:sz w:val="40"/>
          <w:szCs w:val="40"/>
        </w:rPr>
        <w:t>ember</w:t>
      </w:r>
      <w:r>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4A7E617B" w14:textId="77777777" w:rsidR="001554CF" w:rsidRDefault="001554CF">
      <w:pPr>
        <w:rPr>
          <w:rFonts w:ascii="Century Gothic" w:hAnsi="Century Gothic"/>
          <w:b/>
          <w:bCs/>
          <w:color w:val="1F4E79" w:themeColor="accent5" w:themeShade="80"/>
          <w:sz w:val="40"/>
          <w:szCs w:val="40"/>
        </w:rPr>
      </w:pPr>
      <w:r>
        <w:rPr>
          <w:rFonts w:ascii="Century Gothic" w:hAnsi="Century Gothic"/>
          <w:b/>
          <w:bCs/>
          <w:color w:val="1F4E79" w:themeColor="accent5" w:themeShade="80"/>
          <w:sz w:val="40"/>
          <w:szCs w:val="40"/>
        </w:rPr>
        <w:br w:type="page"/>
      </w:r>
    </w:p>
    <w:p w14:paraId="512B721B" w14:textId="175F9FB3"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lastRenderedPageBreak/>
        <w:t>Rev</w:t>
      </w:r>
      <w:r w:rsidR="004E09E7">
        <w:rPr>
          <w:rFonts w:ascii="Century Gothic" w:hAnsi="Century Gothic"/>
          <w:b/>
          <w:bCs/>
          <w:color w:val="1F4E79" w:themeColor="accent5" w:themeShade="80"/>
          <w:sz w:val="40"/>
          <w:szCs w:val="40"/>
        </w:rPr>
        <w:t>ision</w:t>
      </w:r>
      <w:r w:rsidRPr="008C1953">
        <w:rPr>
          <w:rFonts w:ascii="Century Gothic" w:hAnsi="Century Gothic"/>
          <w:b/>
          <w:bCs/>
          <w:color w:val="1F4E79" w:themeColor="accent5" w:themeShade="80"/>
          <w:sz w:val="40"/>
          <w:szCs w:val="40"/>
        </w:rPr>
        <w:t xml:space="preserve"> History</w:t>
      </w:r>
    </w:p>
    <w:tbl>
      <w:tblPr>
        <w:tblStyle w:val="TableGrid"/>
        <w:tblW w:w="0" w:type="auto"/>
        <w:shd w:val="clear" w:color="auto" w:fill="FFFFFF" w:themeFill="background1"/>
        <w:tblLook w:val="04A0" w:firstRow="1" w:lastRow="0" w:firstColumn="1" w:lastColumn="0" w:noHBand="0" w:noVBand="1"/>
      </w:tblPr>
      <w:tblGrid>
        <w:gridCol w:w="1975"/>
        <w:gridCol w:w="2160"/>
        <w:gridCol w:w="2877"/>
        <w:gridCol w:w="2338"/>
      </w:tblGrid>
      <w:tr w:rsidR="004E275A" w14:paraId="6FE377B8" w14:textId="77777777" w:rsidTr="00894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clear" w:color="auto" w:fill="FFFFFF" w:themeFill="background1"/>
          </w:tcPr>
          <w:p w14:paraId="27B0A89F" w14:textId="502EE741" w:rsidR="004E275A" w:rsidRPr="004E275A" w:rsidRDefault="004E275A" w:rsidP="004E275A">
            <w:pPr>
              <w:pStyle w:val="BodyText"/>
              <w:jc w:val="center"/>
              <w:cnfStyle w:val="100000000000" w:firstRow="1" w:lastRow="0" w:firstColumn="0" w:lastColumn="0" w:oddVBand="0" w:evenVBand="0" w:oddHBand="0" w:evenHBand="0" w:firstRowFirstColumn="0" w:firstRowLastColumn="0" w:lastRowFirstColumn="0" w:lastRowLastColumn="0"/>
            </w:pPr>
            <w:r w:rsidRPr="004E275A">
              <w:t>Revision Date</w:t>
            </w:r>
          </w:p>
        </w:tc>
        <w:tc>
          <w:tcPr>
            <w:tcW w:w="2877" w:type="dxa"/>
            <w:shd w:val="clear" w:color="auto" w:fill="FFFFFF" w:themeFill="background1"/>
          </w:tcPr>
          <w:p w14:paraId="3F41AE1C" w14:textId="326A8959" w:rsidR="004E275A" w:rsidRPr="004E275A" w:rsidRDefault="004E275A" w:rsidP="004E275A">
            <w:pPr>
              <w:pStyle w:val="BodyText"/>
              <w:jc w:val="center"/>
              <w:cnfStyle w:val="100000000000" w:firstRow="1" w:lastRow="0" w:firstColumn="0" w:lastColumn="0" w:oddVBand="0" w:evenVBand="0" w:oddHBand="0" w:evenHBand="0" w:firstRowFirstColumn="0" w:firstRowLastColumn="0" w:lastRowFirstColumn="0" w:lastRowLastColumn="0"/>
            </w:pPr>
            <w:r w:rsidRPr="004E275A">
              <w:t>Summary of Changes Made</w:t>
            </w:r>
          </w:p>
        </w:tc>
        <w:tc>
          <w:tcPr>
            <w:tcW w:w="2338" w:type="dxa"/>
            <w:shd w:val="clear" w:color="auto" w:fill="FFFFFF" w:themeFill="background1"/>
          </w:tcPr>
          <w:p w14:paraId="55C1338C" w14:textId="3C23F8EB" w:rsidR="004E275A" w:rsidRPr="004E275A" w:rsidRDefault="004E275A" w:rsidP="004E275A">
            <w:pPr>
              <w:pStyle w:val="BodyText"/>
              <w:jc w:val="center"/>
              <w:cnfStyle w:val="100000000000" w:firstRow="1" w:lastRow="0" w:firstColumn="0" w:lastColumn="0" w:oddVBand="0" w:evenVBand="0" w:oddHBand="0" w:evenHBand="0" w:firstRowFirstColumn="0" w:firstRowLastColumn="0" w:lastRowFirstColumn="0" w:lastRowLastColumn="0"/>
            </w:pPr>
            <w:r w:rsidRPr="004E275A">
              <w:t>Changed By</w:t>
            </w:r>
          </w:p>
        </w:tc>
      </w:tr>
      <w:tr w:rsidR="004E275A" w14:paraId="763F0CCD" w14:textId="77777777" w:rsidTr="00894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474C356" w14:textId="2AC54F56" w:rsidR="004E275A" w:rsidRPr="004E275A" w:rsidRDefault="004E275A" w:rsidP="004E275A">
            <w:pPr>
              <w:pStyle w:val="BodyText"/>
              <w:jc w:val="left"/>
              <w:rPr>
                <w:b/>
                <w:bCs/>
              </w:rPr>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E766687" w14:textId="4FBD4322" w:rsidR="004E275A" w:rsidRP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rPr>
                <w:b w:val="0"/>
                <w:bCs/>
              </w:rPr>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F4809EE" w14:textId="4FF04614" w:rsidR="004E275A" w:rsidRP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rPr>
                <w:b w:val="0"/>
                <w:bCs/>
              </w:rPr>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9B1D4D7" w14:textId="0BE0F3A9" w:rsidR="004E275A" w:rsidRP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rPr>
                <w:b w:val="0"/>
                <w:bCs/>
              </w:rPr>
            </w:pPr>
          </w:p>
        </w:tc>
      </w:tr>
      <w:tr w:rsidR="004E275A" w:rsidRPr="00813816" w14:paraId="73E78559" w14:textId="77777777" w:rsidTr="0089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BDB065C" w14:textId="61FFA2E7" w:rsidR="004E275A" w:rsidRPr="00813816" w:rsidRDefault="004E275A" w:rsidP="004E275A">
            <w:pPr>
              <w:pStyle w:val="BodyText"/>
              <w:jc w:val="left"/>
              <w:rPr>
                <w:b/>
                <w:bCs/>
              </w:rPr>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C8FFB38" w14:textId="7B0AA241" w:rsidR="004E275A" w:rsidRPr="00813816"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rPr>
                <w:b w:val="0"/>
                <w:bCs/>
              </w:rPr>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AA580AA" w14:textId="74E11C61" w:rsidR="004E275A" w:rsidRPr="00813816"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rPr>
                <w:b w:val="0"/>
                <w:bCs/>
              </w:rPr>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A45D41F" w14:textId="6E8163DE" w:rsidR="004E275A" w:rsidRPr="00813816"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rPr>
                <w:b w:val="0"/>
                <w:bCs/>
              </w:rPr>
            </w:pPr>
          </w:p>
        </w:tc>
      </w:tr>
      <w:tr w:rsidR="004E275A" w14:paraId="609F4EC5" w14:textId="77777777" w:rsidTr="00894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3F38A3E"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10B1703"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17E8131"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D2F0A00"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r>
      <w:tr w:rsidR="004E275A" w14:paraId="30802C9F" w14:textId="77777777" w:rsidTr="0089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A849A46"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C1F3590"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456AFC1"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CA13BCE"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r>
      <w:tr w:rsidR="004E275A" w14:paraId="7D57A5C5" w14:textId="77777777" w:rsidTr="00894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01CBBBB"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5AD61F"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CD51DEE"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6EA15EB"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r>
      <w:tr w:rsidR="004E275A" w14:paraId="41D9AD09" w14:textId="77777777" w:rsidTr="0089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2D04208"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A81F1FD"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62D62E1"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6374832"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r>
      <w:tr w:rsidR="004E275A" w14:paraId="622076E2" w14:textId="77777777" w:rsidTr="0089492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77944B3"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24D752D"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094F346"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D45998D" w14:textId="77777777" w:rsidR="004E275A" w:rsidRDefault="004E275A" w:rsidP="004E275A">
            <w:pPr>
              <w:pStyle w:val="BodyText"/>
              <w:jc w:val="left"/>
              <w:cnfStyle w:val="000000100000" w:firstRow="0" w:lastRow="0" w:firstColumn="0" w:lastColumn="0" w:oddVBand="0" w:evenVBand="0" w:oddHBand="1" w:evenHBand="0" w:firstRowFirstColumn="0" w:firstRowLastColumn="0" w:lastRowFirstColumn="0" w:lastRowLastColumn="0"/>
            </w:pPr>
          </w:p>
        </w:tc>
      </w:tr>
      <w:tr w:rsidR="004E275A" w14:paraId="29C1CCC1" w14:textId="77777777" w:rsidTr="0089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3F54342" w14:textId="77777777" w:rsidR="004E275A" w:rsidRDefault="004E275A" w:rsidP="004E275A">
            <w:pPr>
              <w:pStyle w:val="BodyText"/>
              <w:jc w:val="left"/>
            </w:pPr>
          </w:p>
        </w:tc>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321E5E9"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8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67DF88F"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9B5426B" w14:textId="77777777" w:rsidR="004E275A" w:rsidRDefault="004E275A" w:rsidP="004E275A">
            <w:pPr>
              <w:pStyle w:val="BodyText"/>
              <w:jc w:val="left"/>
              <w:cnfStyle w:val="000000010000" w:firstRow="0" w:lastRow="0" w:firstColumn="0" w:lastColumn="0" w:oddVBand="0" w:evenVBand="0" w:oddHBand="0" w:evenHBand="1" w:firstRowFirstColumn="0" w:firstRowLastColumn="0" w:lastRowFirstColumn="0" w:lastRowLastColumn="0"/>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60E14831" w14:textId="3D9B68ED" w:rsidR="004E275A" w:rsidRPr="00E5607E" w:rsidRDefault="004E275A" w:rsidP="004E275A">
      <w:pPr>
        <w:pStyle w:val="BodyText"/>
        <w:rPr>
          <w:rFonts w:cs="Segoe UI Semilight"/>
          <w:sz w:val="22"/>
          <w:szCs w:val="22"/>
        </w:rPr>
      </w:pPr>
    </w:p>
    <w:p w14:paraId="0E151FDF" w14:textId="5B746455" w:rsidR="004E275A" w:rsidRPr="00E5607E" w:rsidRDefault="004E275A" w:rsidP="004E275A">
      <w:pPr>
        <w:pStyle w:val="BodyText"/>
        <w:rPr>
          <w:rFonts w:cs="Segoe UI Semilight"/>
          <w:sz w:val="22"/>
          <w:szCs w:val="22"/>
        </w:rPr>
      </w:pPr>
    </w:p>
    <w:p w14:paraId="1B3A052C" w14:textId="1BE518DE" w:rsidR="004E275A" w:rsidRPr="00E5607E" w:rsidRDefault="004E275A" w:rsidP="004E275A">
      <w:pPr>
        <w:pStyle w:val="BodyText"/>
        <w:rPr>
          <w:rFonts w:cs="Segoe UI Semilight"/>
          <w:sz w:val="22"/>
          <w:szCs w:val="22"/>
        </w:rPr>
      </w:pPr>
    </w:p>
    <w:p w14:paraId="3EF7B2BF" w14:textId="56DC40E7" w:rsidR="004E275A" w:rsidRDefault="004E275A" w:rsidP="004E275A">
      <w:pPr>
        <w:pStyle w:val="BodyText"/>
        <w:rPr>
          <w:rFonts w:cs="Segoe UI Semilight"/>
          <w:sz w:val="22"/>
          <w:szCs w:val="22"/>
        </w:rPr>
      </w:pPr>
    </w:p>
    <w:p w14:paraId="5AB2CC70" w14:textId="1859BB75" w:rsidR="00E5607E" w:rsidRDefault="00E5607E"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bookmarkEnd w:id="1"/>
    <w:bookmarkEnd w:id="2"/>
    <w:p w14:paraId="0CDD70B4" w14:textId="77777777" w:rsidR="006C1AEB" w:rsidRDefault="006C1AEB" w:rsidP="004E275A">
      <w:pPr>
        <w:pStyle w:val="BodyText"/>
        <w:jc w:val="left"/>
        <w:rPr>
          <w:sz w:val="22"/>
          <w:szCs w:val="22"/>
        </w:rPr>
        <w:sectPr w:rsidR="006C1AEB" w:rsidSect="00C9470F">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14:paraId="4D329AEC" w14:textId="6313BB6E" w:rsidR="00B9430D" w:rsidRDefault="000E5A4E" w:rsidP="000E5A4E">
      <w:pPr>
        <w:pStyle w:val="Heading1"/>
      </w:pPr>
      <w:bookmarkStart w:id="3" w:name="_Toc48562419"/>
      <w:bookmarkStart w:id="4" w:name="_Toc53665190"/>
      <w:r>
        <w:lastRenderedPageBreak/>
        <w:t>I</w:t>
      </w:r>
      <w:r w:rsidR="00B6395F">
        <w:t>R &amp; DR Documents Overview</w:t>
      </w:r>
    </w:p>
    <w:p w14:paraId="48D41A7E" w14:textId="476C34D2" w:rsidR="00297138" w:rsidRDefault="003C0A6A" w:rsidP="003C0A6A">
      <w:pPr>
        <w:pStyle w:val="BodyText"/>
      </w:pPr>
      <w:r>
        <w:t>All documents here can be downloaded on NCTCOG website located here:</w:t>
      </w:r>
    </w:p>
    <w:p w14:paraId="660C4709" w14:textId="23AAAD7D" w:rsidR="00540545" w:rsidRPr="00540545" w:rsidRDefault="006C0EF9" w:rsidP="003C0A6A">
      <w:pPr>
        <w:pStyle w:val="BodyText"/>
        <w:rPr>
          <w:u w:val="single"/>
        </w:rPr>
      </w:pPr>
      <w:hyperlink r:id="rId16" w:history="1">
        <w:r w:rsidR="00540545" w:rsidRPr="00540545">
          <w:rPr>
            <w:u w:val="single"/>
          </w:rPr>
          <w:t>https://nctcog.org/ep/resources/cyber-security-incident-response-planning-system</w:t>
        </w:r>
      </w:hyperlink>
    </w:p>
    <w:p w14:paraId="002100DD" w14:textId="6C75EDF7" w:rsidR="00CF4F8D" w:rsidRDefault="00CF4F8D">
      <w:pPr>
        <w:rPr>
          <w:rFonts w:ascii="Segoe UI Semilight" w:hAnsi="Segoe UI Semilight"/>
        </w:rPr>
      </w:pPr>
    </w:p>
    <w:p w14:paraId="18341A20" w14:textId="77777777" w:rsidR="003C0A6A" w:rsidRDefault="003C0A6A" w:rsidP="003C0A6A">
      <w:pPr>
        <w:pStyle w:val="BodyText"/>
      </w:pPr>
    </w:p>
    <w:p w14:paraId="573BD0CD" w14:textId="77777777" w:rsidR="00297138" w:rsidRPr="003C0A6A" w:rsidRDefault="00297138" w:rsidP="003C0A6A">
      <w:pPr>
        <w:pStyle w:val="BodyText"/>
      </w:pPr>
    </w:p>
    <w:tbl>
      <w:tblPr>
        <w:tblStyle w:val="TableGrid"/>
        <w:tblW w:w="9445" w:type="dxa"/>
        <w:tblLook w:val="04A0" w:firstRow="1" w:lastRow="0" w:firstColumn="1" w:lastColumn="0" w:noHBand="0" w:noVBand="1"/>
      </w:tblPr>
      <w:tblGrid>
        <w:gridCol w:w="3235"/>
        <w:gridCol w:w="185"/>
        <w:gridCol w:w="6025"/>
      </w:tblGrid>
      <w:tr w:rsidR="00B6395F" w:rsidRPr="00197967" w14:paraId="11727455" w14:textId="77777777" w:rsidTr="00CA3B7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20" w:type="dxa"/>
            <w:gridSpan w:val="2"/>
          </w:tcPr>
          <w:bookmarkEnd w:id="3"/>
          <w:bookmarkEnd w:id="4"/>
          <w:p w14:paraId="497A0366" w14:textId="43CE7964" w:rsidR="00B6395F" w:rsidRPr="00664438" w:rsidRDefault="00B6395F" w:rsidP="00057324">
            <w:pPr>
              <w:spacing w:before="20" w:after="20"/>
              <w:jc w:val="center"/>
              <w:rPr>
                <w:rFonts w:ascii="Segoe UI Semilight" w:hAnsi="Segoe UI Semilight" w:cs="Segoe UI Semilight"/>
                <w:b/>
                <w:bCs/>
                <w:sz w:val="22"/>
                <w:szCs w:val="22"/>
              </w:rPr>
            </w:pPr>
            <w:r w:rsidRPr="00664438">
              <w:rPr>
                <w:rFonts w:ascii="Segoe UI Semilight" w:hAnsi="Segoe UI Semilight" w:cs="Segoe UI Semilight"/>
                <w:b/>
                <w:bCs/>
                <w:sz w:val="22"/>
                <w:szCs w:val="22"/>
              </w:rPr>
              <w:t xml:space="preserve">Document </w:t>
            </w:r>
            <w:r w:rsidR="003C0A6A" w:rsidRPr="00664438">
              <w:rPr>
                <w:rFonts w:ascii="Segoe UI Semilight" w:hAnsi="Segoe UI Semilight" w:cs="Segoe UI Semilight"/>
                <w:b/>
                <w:bCs/>
                <w:sz w:val="22"/>
                <w:szCs w:val="22"/>
              </w:rPr>
              <w:t>Name</w:t>
            </w:r>
          </w:p>
        </w:tc>
        <w:tc>
          <w:tcPr>
            <w:tcW w:w="6025" w:type="dxa"/>
          </w:tcPr>
          <w:p w14:paraId="668B84CC" w14:textId="591D715D" w:rsidR="00B6395F" w:rsidRPr="00664438" w:rsidRDefault="00B6395F" w:rsidP="00057324">
            <w:pPr>
              <w:spacing w:before="20" w:after="20"/>
              <w:jc w:val="cente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b/>
                <w:bCs/>
                <w:sz w:val="22"/>
                <w:szCs w:val="22"/>
              </w:rPr>
            </w:pPr>
            <w:r w:rsidRPr="00664438">
              <w:rPr>
                <w:rFonts w:ascii="Segoe UI Semilight" w:hAnsi="Segoe UI Semilight" w:cs="Segoe UI Semilight"/>
                <w:b/>
                <w:bCs/>
                <w:sz w:val="22"/>
                <w:szCs w:val="22"/>
              </w:rPr>
              <w:t xml:space="preserve">Details </w:t>
            </w:r>
          </w:p>
        </w:tc>
      </w:tr>
      <w:tr w:rsidR="002C312A" w:rsidRPr="00197967" w14:paraId="25F00BD5"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EE59BC5" w14:textId="1A2AD31F" w:rsidR="002C312A" w:rsidRPr="00664438" w:rsidRDefault="002C312A"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Incident Response Framework</w:t>
            </w:r>
          </w:p>
        </w:tc>
        <w:tc>
          <w:tcPr>
            <w:tcW w:w="6210" w:type="dxa"/>
            <w:gridSpan w:val="2"/>
          </w:tcPr>
          <w:p w14:paraId="27826197" w14:textId="1AD57929" w:rsidR="002C312A" w:rsidRPr="00197967" w:rsidRDefault="006726C8" w:rsidP="00057324">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 xml:space="preserve">Provides structure to support </w:t>
            </w:r>
            <w:r w:rsidR="00832F9D" w:rsidRPr="00197967">
              <w:rPr>
                <w:rFonts w:ascii="Segoe UI Semilight" w:hAnsi="Segoe UI Semilight" w:cs="Segoe UI Semilight"/>
                <w:b w:val="0"/>
                <w:bCs/>
                <w:sz w:val="22"/>
                <w:szCs w:val="22"/>
              </w:rPr>
              <w:t>i</w:t>
            </w:r>
            <w:r w:rsidR="00057324" w:rsidRPr="00197967">
              <w:rPr>
                <w:rFonts w:ascii="Segoe UI Semilight" w:hAnsi="Segoe UI Semilight" w:cs="Segoe UI Semilight"/>
                <w:b w:val="0"/>
                <w:bCs/>
                <w:sz w:val="22"/>
                <w:szCs w:val="22"/>
              </w:rPr>
              <w:t>ncident</w:t>
            </w:r>
            <w:r w:rsidRPr="00197967">
              <w:rPr>
                <w:rFonts w:ascii="Segoe UI Semilight" w:hAnsi="Segoe UI Semilight" w:cs="Segoe UI Semilight"/>
                <w:b w:val="0"/>
                <w:bCs/>
                <w:sz w:val="22"/>
                <w:szCs w:val="22"/>
              </w:rPr>
              <w:t xml:space="preserve"> operation</w:t>
            </w:r>
            <w:r w:rsidR="00057324" w:rsidRPr="00197967">
              <w:rPr>
                <w:rFonts w:ascii="Segoe UI Semilight" w:hAnsi="Segoe UI Semilight" w:cs="Segoe UI Semilight"/>
                <w:b w:val="0"/>
                <w:bCs/>
                <w:sz w:val="22"/>
                <w:szCs w:val="22"/>
              </w:rPr>
              <w:t>s and supporting documents</w:t>
            </w:r>
            <w:r w:rsidR="006A3C3B" w:rsidRPr="00197967">
              <w:rPr>
                <w:rFonts w:ascii="Segoe UI Semilight" w:hAnsi="Segoe UI Semilight" w:cs="Segoe UI Semilight"/>
                <w:b w:val="0"/>
                <w:bCs/>
                <w:sz w:val="22"/>
                <w:szCs w:val="22"/>
              </w:rPr>
              <w:t>.</w:t>
            </w:r>
          </w:p>
          <w:p w14:paraId="1E28FFF5" w14:textId="674D9CB9" w:rsidR="006A3C3B" w:rsidRPr="00197967" w:rsidRDefault="006A3C3B" w:rsidP="00057324">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p>
        </w:tc>
      </w:tr>
      <w:tr w:rsidR="002C312A" w:rsidRPr="00197967" w14:paraId="2A7314B4"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B566B48" w14:textId="08ABB06F" w:rsidR="002C312A" w:rsidRPr="00664438" w:rsidRDefault="002C312A"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Incident Response Plan</w:t>
            </w:r>
            <w:r w:rsidR="00832F9D" w:rsidRPr="00664438">
              <w:rPr>
                <w:rFonts w:ascii="Segoe UI Semilight" w:hAnsi="Segoe UI Semilight" w:cs="Segoe UI Semilight"/>
                <w:b/>
                <w:bCs/>
                <w:sz w:val="22"/>
                <w:szCs w:val="22"/>
              </w:rPr>
              <w:t xml:space="preserve"> (“the Plan”)</w:t>
            </w:r>
          </w:p>
        </w:tc>
        <w:tc>
          <w:tcPr>
            <w:tcW w:w="6210" w:type="dxa"/>
            <w:gridSpan w:val="2"/>
          </w:tcPr>
          <w:p w14:paraId="5E6498E4" w14:textId="77777777" w:rsidR="002C312A" w:rsidRPr="00197967" w:rsidRDefault="000835E6" w:rsidP="000835E6">
            <w:pPr>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Outlines an organization's procedures, steps, and responsibilities of its incident response.</w:t>
            </w:r>
          </w:p>
          <w:p w14:paraId="7D5E6C71" w14:textId="4FE6A569" w:rsidR="006A3C3B" w:rsidRPr="00197967" w:rsidRDefault="006A3C3B" w:rsidP="000835E6">
            <w:pPr>
              <w:cnfStyle w:val="000000010000" w:firstRow="0" w:lastRow="0" w:firstColumn="0" w:lastColumn="0" w:oddVBand="0" w:evenVBand="0" w:oddHBand="0" w:evenHBand="1" w:firstRowFirstColumn="0" w:firstRowLastColumn="0" w:lastRowFirstColumn="0" w:lastRowLastColumn="0"/>
              <w:rPr>
                <w:rFonts w:ascii="Times New Roman" w:hAnsi="Times New Roman"/>
                <w:b w:val="0"/>
                <w:bCs/>
              </w:rPr>
            </w:pPr>
          </w:p>
        </w:tc>
      </w:tr>
      <w:tr w:rsidR="00471944" w:rsidRPr="00197967" w14:paraId="75271274"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05EF79F" w14:textId="77777777" w:rsidR="00471944" w:rsidRPr="00664438" w:rsidRDefault="00471944"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 xml:space="preserve">Incident Response Operations Checklist </w:t>
            </w:r>
          </w:p>
          <w:p w14:paraId="21F2B37A" w14:textId="5D8B9EFB" w:rsidR="006A3C3B" w:rsidRPr="00664438" w:rsidRDefault="006A3C3B" w:rsidP="00057324">
            <w:pPr>
              <w:spacing w:before="20" w:after="20"/>
              <w:rPr>
                <w:rFonts w:ascii="Segoe UI Semilight" w:hAnsi="Segoe UI Semilight" w:cs="Segoe UI Semilight"/>
                <w:b/>
                <w:bCs/>
                <w:sz w:val="22"/>
                <w:szCs w:val="22"/>
              </w:rPr>
            </w:pPr>
          </w:p>
        </w:tc>
        <w:tc>
          <w:tcPr>
            <w:tcW w:w="6210" w:type="dxa"/>
            <w:gridSpan w:val="2"/>
          </w:tcPr>
          <w:p w14:paraId="76DC1BE5" w14:textId="4574545E" w:rsidR="00471944" w:rsidRPr="00197967" w:rsidRDefault="00471944" w:rsidP="00057324">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 xml:space="preserve">Checklist for </w:t>
            </w:r>
            <w:r w:rsidR="000835E6" w:rsidRPr="00197967">
              <w:rPr>
                <w:rFonts w:ascii="Segoe UI Semilight" w:hAnsi="Segoe UI Semilight" w:cs="Segoe UI Semilight"/>
                <w:b w:val="0"/>
                <w:bCs/>
                <w:sz w:val="22"/>
                <w:szCs w:val="22"/>
              </w:rPr>
              <w:t>meet all key</w:t>
            </w:r>
            <w:r w:rsidR="00D471B1" w:rsidRPr="00197967">
              <w:rPr>
                <w:rFonts w:ascii="Segoe UI Semilight" w:hAnsi="Segoe UI Semilight" w:cs="Segoe UI Semilight"/>
                <w:b w:val="0"/>
                <w:bCs/>
                <w:sz w:val="22"/>
                <w:szCs w:val="22"/>
              </w:rPr>
              <w:t xml:space="preserve"> IR Plan requirements</w:t>
            </w:r>
            <w:r w:rsidR="006A3C3B" w:rsidRPr="00197967">
              <w:rPr>
                <w:rFonts w:ascii="Segoe UI Semilight" w:hAnsi="Segoe UI Semilight" w:cs="Segoe UI Semilight"/>
                <w:b w:val="0"/>
                <w:bCs/>
                <w:sz w:val="22"/>
                <w:szCs w:val="22"/>
              </w:rPr>
              <w:t>.</w:t>
            </w:r>
            <w:r w:rsidR="00D471B1" w:rsidRPr="00197967">
              <w:rPr>
                <w:rFonts w:ascii="Segoe UI Semilight" w:hAnsi="Segoe UI Semilight" w:cs="Segoe UI Semilight"/>
                <w:b w:val="0"/>
                <w:bCs/>
                <w:sz w:val="22"/>
                <w:szCs w:val="22"/>
              </w:rPr>
              <w:t xml:space="preserve"> </w:t>
            </w:r>
          </w:p>
        </w:tc>
      </w:tr>
      <w:tr w:rsidR="002C312A" w:rsidRPr="00197967" w14:paraId="11F1C015"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29D629E" w14:textId="03A75F37" w:rsidR="002C312A" w:rsidRPr="00664438" w:rsidRDefault="002C312A"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Incident Response Standard</w:t>
            </w:r>
          </w:p>
        </w:tc>
        <w:tc>
          <w:tcPr>
            <w:tcW w:w="6210" w:type="dxa"/>
            <w:gridSpan w:val="2"/>
          </w:tcPr>
          <w:p w14:paraId="402B709A" w14:textId="529F545D" w:rsidR="002C312A" w:rsidRPr="00197967" w:rsidRDefault="006726C8" w:rsidP="00057324">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 xml:space="preserve">Provides </w:t>
            </w:r>
            <w:r w:rsidR="000835E6" w:rsidRPr="00197967">
              <w:rPr>
                <w:rFonts w:ascii="Segoe UI Semilight" w:hAnsi="Segoe UI Semilight" w:cs="Segoe UI Semilight"/>
                <w:b w:val="0"/>
                <w:bCs/>
                <w:sz w:val="22"/>
                <w:szCs w:val="22"/>
              </w:rPr>
              <w:t xml:space="preserve">the standard definitions and overview on which the Incident </w:t>
            </w:r>
            <w:r w:rsidR="00832F9D" w:rsidRPr="00197967">
              <w:rPr>
                <w:rFonts w:ascii="Segoe UI Semilight" w:hAnsi="Segoe UI Semilight" w:cs="Segoe UI Semilight"/>
                <w:b w:val="0"/>
                <w:bCs/>
                <w:sz w:val="22"/>
                <w:szCs w:val="22"/>
              </w:rPr>
              <w:t>R</w:t>
            </w:r>
            <w:r w:rsidR="000835E6" w:rsidRPr="00197967">
              <w:rPr>
                <w:rFonts w:ascii="Segoe UI Semilight" w:hAnsi="Segoe UI Semilight" w:cs="Segoe UI Semilight"/>
                <w:b w:val="0"/>
                <w:bCs/>
                <w:sz w:val="22"/>
                <w:szCs w:val="22"/>
              </w:rPr>
              <w:t xml:space="preserve">epose Plan </w:t>
            </w:r>
            <w:r w:rsidR="00832F9D" w:rsidRPr="00197967">
              <w:rPr>
                <w:rFonts w:ascii="Segoe UI Semilight" w:hAnsi="Segoe UI Semilight" w:cs="Segoe UI Semilight"/>
                <w:b w:val="0"/>
                <w:bCs/>
                <w:sz w:val="22"/>
                <w:szCs w:val="22"/>
              </w:rPr>
              <w:t xml:space="preserve">(“the Plan”) </w:t>
            </w:r>
            <w:r w:rsidR="000835E6" w:rsidRPr="00197967">
              <w:rPr>
                <w:rFonts w:ascii="Segoe UI Semilight" w:hAnsi="Segoe UI Semilight" w:cs="Segoe UI Semilight"/>
                <w:b w:val="0"/>
                <w:bCs/>
                <w:sz w:val="22"/>
                <w:szCs w:val="22"/>
              </w:rPr>
              <w:t>is based on</w:t>
            </w:r>
            <w:r w:rsidR="006A3C3B" w:rsidRPr="00197967">
              <w:rPr>
                <w:rFonts w:ascii="Segoe UI Semilight" w:hAnsi="Segoe UI Semilight" w:cs="Segoe UI Semilight"/>
                <w:b w:val="0"/>
                <w:bCs/>
                <w:sz w:val="22"/>
                <w:szCs w:val="22"/>
              </w:rPr>
              <w:t>.</w:t>
            </w:r>
          </w:p>
          <w:p w14:paraId="7ADD2C19" w14:textId="544A444F" w:rsidR="006A3C3B" w:rsidRPr="00197967" w:rsidRDefault="006A3C3B" w:rsidP="00057324">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p>
        </w:tc>
      </w:tr>
      <w:tr w:rsidR="002C312A" w:rsidRPr="00197967" w14:paraId="1181E3A4"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9D3D20F" w14:textId="5685D7ED" w:rsidR="002C312A" w:rsidRPr="00664438" w:rsidRDefault="00D80DB2"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IR Consolidated List of Standards</w:t>
            </w:r>
          </w:p>
        </w:tc>
        <w:tc>
          <w:tcPr>
            <w:tcW w:w="6210" w:type="dxa"/>
            <w:gridSpan w:val="2"/>
          </w:tcPr>
          <w:p w14:paraId="6A9C5BC5" w14:textId="1561C359" w:rsidR="002C312A" w:rsidRPr="00197967" w:rsidRDefault="000835E6" w:rsidP="00057324">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 xml:space="preserve">Overview of all applicable standards for </w:t>
            </w:r>
            <w:r w:rsidR="00832F9D" w:rsidRPr="00197967">
              <w:rPr>
                <w:rFonts w:ascii="Segoe UI Semilight" w:hAnsi="Segoe UI Semilight" w:cs="Segoe UI Semilight"/>
                <w:b w:val="0"/>
                <w:bCs/>
                <w:sz w:val="22"/>
                <w:szCs w:val="22"/>
              </w:rPr>
              <w:t>i</w:t>
            </w:r>
            <w:r w:rsidRPr="00197967">
              <w:rPr>
                <w:rFonts w:ascii="Segoe UI Semilight" w:hAnsi="Segoe UI Semilight" w:cs="Segoe UI Semilight"/>
                <w:b w:val="0"/>
                <w:bCs/>
                <w:sz w:val="22"/>
                <w:szCs w:val="22"/>
              </w:rPr>
              <w:t>ncident response and threat management. Used a</w:t>
            </w:r>
            <w:r w:rsidR="00832F9D" w:rsidRPr="00197967">
              <w:rPr>
                <w:rFonts w:ascii="Segoe UI Semilight" w:hAnsi="Segoe UI Semilight" w:cs="Segoe UI Semilight"/>
                <w:b w:val="0"/>
                <w:bCs/>
                <w:sz w:val="22"/>
                <w:szCs w:val="22"/>
              </w:rPr>
              <w:t>s</w:t>
            </w:r>
            <w:r w:rsidRPr="00197967">
              <w:rPr>
                <w:rFonts w:ascii="Segoe UI Semilight" w:hAnsi="Segoe UI Semilight" w:cs="Segoe UI Semilight"/>
                <w:b w:val="0"/>
                <w:bCs/>
                <w:sz w:val="22"/>
                <w:szCs w:val="22"/>
              </w:rPr>
              <w:t xml:space="preserve"> guidance for more detailed information to develop an IR </w:t>
            </w:r>
            <w:r w:rsidR="00832F9D" w:rsidRPr="00197967">
              <w:rPr>
                <w:rFonts w:ascii="Segoe UI Semilight" w:hAnsi="Segoe UI Semilight" w:cs="Segoe UI Semilight"/>
                <w:b w:val="0"/>
                <w:bCs/>
                <w:sz w:val="22"/>
                <w:szCs w:val="22"/>
              </w:rPr>
              <w:t>P</w:t>
            </w:r>
            <w:r w:rsidRPr="00197967">
              <w:rPr>
                <w:rFonts w:ascii="Segoe UI Semilight" w:hAnsi="Segoe UI Semilight" w:cs="Segoe UI Semilight"/>
                <w:b w:val="0"/>
                <w:bCs/>
                <w:sz w:val="22"/>
                <w:szCs w:val="22"/>
              </w:rPr>
              <w:t xml:space="preserve">lan, </w:t>
            </w:r>
            <w:r w:rsidR="006A3C3B" w:rsidRPr="00197967">
              <w:rPr>
                <w:rFonts w:ascii="Segoe UI Semilight" w:hAnsi="Segoe UI Semilight" w:cs="Segoe UI Semilight"/>
                <w:b w:val="0"/>
                <w:bCs/>
                <w:sz w:val="22"/>
                <w:szCs w:val="22"/>
              </w:rPr>
              <w:t>organization,</w:t>
            </w:r>
            <w:r w:rsidRPr="00197967">
              <w:rPr>
                <w:rFonts w:ascii="Segoe UI Semilight" w:hAnsi="Segoe UI Semilight" w:cs="Segoe UI Semilight"/>
                <w:b w:val="0"/>
                <w:bCs/>
                <w:sz w:val="22"/>
                <w:szCs w:val="22"/>
              </w:rPr>
              <w:t xml:space="preserve"> and service delivery.</w:t>
            </w:r>
          </w:p>
          <w:p w14:paraId="3E2E4E62" w14:textId="664E72F0" w:rsidR="006A3C3B" w:rsidRPr="00197967" w:rsidRDefault="006A3C3B" w:rsidP="00057324">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p>
        </w:tc>
      </w:tr>
      <w:tr w:rsidR="006A4BBA" w:rsidRPr="00197967" w14:paraId="40760914"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1C5CAF0" w14:textId="2BA40128" w:rsidR="006A4BBA" w:rsidRPr="00664438" w:rsidRDefault="006A4BBA" w:rsidP="00057324">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IR Organization Structure</w:t>
            </w:r>
          </w:p>
        </w:tc>
        <w:tc>
          <w:tcPr>
            <w:tcW w:w="6210" w:type="dxa"/>
            <w:gridSpan w:val="2"/>
          </w:tcPr>
          <w:p w14:paraId="47A9F499" w14:textId="77777777" w:rsidR="006A4BBA" w:rsidRPr="00197967" w:rsidRDefault="00C22BF0" w:rsidP="00057324">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 xml:space="preserve">Provides the </w:t>
            </w:r>
            <w:r w:rsidR="000835E6" w:rsidRPr="00197967">
              <w:rPr>
                <w:rFonts w:ascii="Segoe UI Semilight" w:hAnsi="Segoe UI Semilight" w:cs="Segoe UI Semilight"/>
                <w:b w:val="0"/>
                <w:sz w:val="22"/>
                <w:szCs w:val="22"/>
              </w:rPr>
              <w:t xml:space="preserve">best practice </w:t>
            </w:r>
            <w:r w:rsidRPr="00197967">
              <w:rPr>
                <w:rFonts w:ascii="Segoe UI Semilight" w:hAnsi="Segoe UI Semilight" w:cs="Segoe UI Semilight"/>
                <w:b w:val="0"/>
                <w:sz w:val="22"/>
                <w:szCs w:val="22"/>
              </w:rPr>
              <w:t xml:space="preserve">organizational structure and chain of command </w:t>
            </w:r>
            <w:r w:rsidR="000835E6" w:rsidRPr="00197967">
              <w:rPr>
                <w:rFonts w:ascii="Segoe UI Semilight" w:hAnsi="Segoe UI Semilight" w:cs="Segoe UI Semilight"/>
                <w:b w:val="0"/>
                <w:sz w:val="22"/>
                <w:szCs w:val="22"/>
              </w:rPr>
              <w:t xml:space="preserve">for an </w:t>
            </w:r>
            <w:r w:rsidR="00797341" w:rsidRPr="00197967">
              <w:rPr>
                <w:rFonts w:ascii="Segoe UI Semilight" w:hAnsi="Segoe UI Semilight" w:cs="Segoe UI Semilight"/>
                <w:b w:val="0"/>
                <w:sz w:val="22"/>
                <w:szCs w:val="22"/>
              </w:rPr>
              <w:t>IR organization</w:t>
            </w:r>
            <w:r w:rsidR="001E3A86" w:rsidRPr="00197967">
              <w:rPr>
                <w:rFonts w:ascii="Segoe UI Semilight" w:hAnsi="Segoe UI Semilight" w:cs="Segoe UI Semilight"/>
                <w:b w:val="0"/>
                <w:sz w:val="22"/>
                <w:szCs w:val="22"/>
              </w:rPr>
              <w:t xml:space="preserve"> (CIRT)</w:t>
            </w:r>
            <w:r w:rsidR="000835E6" w:rsidRPr="00197967">
              <w:rPr>
                <w:rFonts w:ascii="Segoe UI Semilight" w:hAnsi="Segoe UI Semilight" w:cs="Segoe UI Semilight"/>
                <w:b w:val="0"/>
                <w:sz w:val="22"/>
                <w:szCs w:val="22"/>
              </w:rPr>
              <w:t>.</w:t>
            </w:r>
          </w:p>
          <w:p w14:paraId="7C0755DD" w14:textId="628FF4A9" w:rsidR="006A3C3B" w:rsidRPr="00197967" w:rsidRDefault="006A3C3B" w:rsidP="00057324">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p>
        </w:tc>
      </w:tr>
      <w:tr w:rsidR="00ED5410" w:rsidRPr="00197967" w14:paraId="2CDD7311"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4471FF9" w14:textId="505262CD"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DR Initial Planning Agenda</w:t>
            </w:r>
          </w:p>
        </w:tc>
        <w:tc>
          <w:tcPr>
            <w:tcW w:w="6210" w:type="dxa"/>
            <w:gridSpan w:val="2"/>
          </w:tcPr>
          <w:p w14:paraId="133A5D61" w14:textId="772B4913" w:rsidR="00ED5410" w:rsidRPr="00197967" w:rsidRDefault="00ED5410"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 xml:space="preserve">Pre-planning for the </w:t>
            </w:r>
            <w:r w:rsidR="006A3C3B" w:rsidRPr="00197967">
              <w:rPr>
                <w:rFonts w:ascii="Segoe UI Semilight" w:hAnsi="Segoe UI Semilight" w:cs="Segoe UI Semilight"/>
                <w:b w:val="0"/>
                <w:sz w:val="22"/>
                <w:szCs w:val="22"/>
              </w:rPr>
              <w:t xml:space="preserve">disaster recovery </w:t>
            </w:r>
            <w:r w:rsidRPr="00197967">
              <w:rPr>
                <w:rFonts w:ascii="Segoe UI Semilight" w:hAnsi="Segoe UI Semilight" w:cs="Segoe UI Semilight"/>
                <w:b w:val="0"/>
                <w:sz w:val="22"/>
                <w:szCs w:val="22"/>
              </w:rPr>
              <w:t>exercise</w:t>
            </w:r>
            <w:r w:rsidR="006A3C3B" w:rsidRPr="00197967">
              <w:rPr>
                <w:rFonts w:ascii="Segoe UI Semilight" w:hAnsi="Segoe UI Semilight" w:cs="Segoe UI Semilight"/>
                <w:b w:val="0"/>
                <w:sz w:val="22"/>
                <w:szCs w:val="22"/>
              </w:rPr>
              <w:t>.</w:t>
            </w:r>
          </w:p>
          <w:p w14:paraId="77A26A85" w14:textId="5E197F6D" w:rsidR="006A3C3B" w:rsidRPr="00197967" w:rsidRDefault="006A3C3B"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p>
        </w:tc>
      </w:tr>
      <w:tr w:rsidR="00ED5410" w:rsidRPr="00197967" w14:paraId="6B6FB614"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E5FE9E7" w14:textId="6CF2F592"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Regulatory Notification Requirements</w:t>
            </w:r>
          </w:p>
        </w:tc>
        <w:tc>
          <w:tcPr>
            <w:tcW w:w="6210" w:type="dxa"/>
            <w:gridSpan w:val="2"/>
          </w:tcPr>
          <w:p w14:paraId="13345ADA" w14:textId="63CC45F3" w:rsidR="00ED5410" w:rsidRPr="00197967" w:rsidRDefault="00ED5410"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Regulatory reporting requirements in case of a breach and disclosure of data</w:t>
            </w:r>
            <w:r w:rsidR="006A3C3B" w:rsidRPr="00197967">
              <w:rPr>
                <w:rFonts w:ascii="Segoe UI Semilight" w:hAnsi="Segoe UI Semilight" w:cs="Segoe UI Semilight"/>
                <w:b w:val="0"/>
                <w:bCs/>
                <w:sz w:val="22"/>
                <w:szCs w:val="22"/>
              </w:rPr>
              <w:t>.</w:t>
            </w:r>
          </w:p>
          <w:p w14:paraId="409D3E66" w14:textId="411D117A" w:rsidR="006A3C3B" w:rsidRPr="00197967" w:rsidRDefault="006A3C3B"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p>
        </w:tc>
      </w:tr>
      <w:tr w:rsidR="00ED5410" w:rsidRPr="00197967" w14:paraId="2695B90B"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AC784CD" w14:textId="51B62A58"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IR Customer and Media Communications</w:t>
            </w:r>
          </w:p>
        </w:tc>
        <w:tc>
          <w:tcPr>
            <w:tcW w:w="6210" w:type="dxa"/>
            <w:gridSpan w:val="2"/>
          </w:tcPr>
          <w:p w14:paraId="17D78003" w14:textId="58F255A3" w:rsidR="00ED5410" w:rsidRPr="00197967" w:rsidRDefault="00ED5410"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Guidance on protocol for media communication and notifications following an incident</w:t>
            </w:r>
            <w:r w:rsidR="006A3C3B" w:rsidRPr="00197967">
              <w:rPr>
                <w:rFonts w:ascii="Segoe UI Semilight" w:hAnsi="Segoe UI Semilight" w:cs="Segoe UI Semilight"/>
                <w:b w:val="0"/>
                <w:bCs/>
                <w:sz w:val="22"/>
                <w:szCs w:val="22"/>
              </w:rPr>
              <w:t>.</w:t>
            </w:r>
          </w:p>
          <w:p w14:paraId="533EAD93" w14:textId="5A8E1564" w:rsidR="006A3C3B" w:rsidRPr="00197967" w:rsidRDefault="006A3C3B"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p>
        </w:tc>
      </w:tr>
      <w:tr w:rsidR="00ED5410" w:rsidRPr="00197967" w14:paraId="4D93985D"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AF90E7C" w14:textId="0AFBF761"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IR Standard Operating Procedures</w:t>
            </w:r>
          </w:p>
        </w:tc>
        <w:tc>
          <w:tcPr>
            <w:tcW w:w="6210" w:type="dxa"/>
            <w:gridSpan w:val="2"/>
          </w:tcPr>
          <w:p w14:paraId="3585ABBC" w14:textId="77777777" w:rsidR="00ED5410" w:rsidRPr="00197967" w:rsidRDefault="00ED5410"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Provides guidance on key steps to perform full Life Cycle Incident management for key threats.</w:t>
            </w:r>
          </w:p>
          <w:p w14:paraId="4FAD7CA5" w14:textId="4156AF08" w:rsidR="006A3C3B" w:rsidRPr="00197967" w:rsidRDefault="006A3C3B"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bCs/>
                <w:sz w:val="22"/>
                <w:szCs w:val="22"/>
              </w:rPr>
            </w:pPr>
          </w:p>
        </w:tc>
      </w:tr>
      <w:tr w:rsidR="00ED5410" w:rsidRPr="00197967" w14:paraId="7E33865D"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B76B44D" w14:textId="0BF27CA2"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lastRenderedPageBreak/>
              <w:t>DR Facilitator Guide Tabletop Exercises</w:t>
            </w:r>
          </w:p>
        </w:tc>
        <w:tc>
          <w:tcPr>
            <w:tcW w:w="6210" w:type="dxa"/>
            <w:gridSpan w:val="2"/>
          </w:tcPr>
          <w:p w14:paraId="59322B58" w14:textId="1204B076" w:rsidR="00ED5410" w:rsidRPr="00197967" w:rsidRDefault="00ED5410"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 xml:space="preserve">A guidebook </w:t>
            </w:r>
            <w:r w:rsidR="00832F9D" w:rsidRPr="00197967">
              <w:rPr>
                <w:rFonts w:ascii="Segoe UI Semilight" w:hAnsi="Segoe UI Semilight" w:cs="Segoe UI Semilight"/>
                <w:b w:val="0"/>
                <w:sz w:val="22"/>
                <w:szCs w:val="22"/>
              </w:rPr>
              <w:t xml:space="preserve">for the facilitator </w:t>
            </w:r>
            <w:r w:rsidRPr="00197967">
              <w:rPr>
                <w:rFonts w:ascii="Segoe UI Semilight" w:hAnsi="Segoe UI Semilight" w:cs="Segoe UI Semilight"/>
                <w:b w:val="0"/>
                <w:sz w:val="22"/>
                <w:szCs w:val="22"/>
              </w:rPr>
              <w:t>to follow when conducting training exercises related to Disaster Recovery</w:t>
            </w:r>
            <w:r w:rsidR="006A3C3B" w:rsidRPr="00197967">
              <w:rPr>
                <w:rFonts w:ascii="Segoe UI Semilight" w:hAnsi="Segoe UI Semilight" w:cs="Segoe UI Semilight"/>
                <w:b w:val="0"/>
                <w:sz w:val="22"/>
                <w:szCs w:val="22"/>
              </w:rPr>
              <w:t>.</w:t>
            </w:r>
          </w:p>
          <w:p w14:paraId="63EFB65A" w14:textId="641A1F5D" w:rsidR="006A3C3B" w:rsidRPr="00197967" w:rsidRDefault="006A3C3B"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sz w:val="22"/>
                <w:szCs w:val="22"/>
              </w:rPr>
            </w:pPr>
          </w:p>
        </w:tc>
      </w:tr>
      <w:tr w:rsidR="00ED5410" w:rsidRPr="00197967" w14:paraId="44A9088A"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840CAA6" w14:textId="43BB8361" w:rsidR="00ED5410" w:rsidRPr="00664438" w:rsidRDefault="00ED5410" w:rsidP="00ED5410">
            <w:pPr>
              <w:spacing w:before="20" w:after="20"/>
              <w:rPr>
                <w:rFonts w:ascii="Segoe UI Semilight" w:hAnsi="Segoe UI Semilight" w:cs="Segoe UI Semilight"/>
                <w:b/>
                <w:bCs/>
                <w:sz w:val="22"/>
                <w:szCs w:val="22"/>
              </w:rPr>
            </w:pPr>
            <w:r w:rsidRPr="00664438">
              <w:rPr>
                <w:rFonts w:ascii="Segoe UI Semilight" w:hAnsi="Segoe UI Semilight" w:cs="Segoe UI Semilight"/>
                <w:b/>
                <w:bCs/>
                <w:sz w:val="22"/>
                <w:szCs w:val="22"/>
              </w:rPr>
              <w:t>DR Initial Planning Minutes</w:t>
            </w:r>
          </w:p>
        </w:tc>
        <w:tc>
          <w:tcPr>
            <w:tcW w:w="6210" w:type="dxa"/>
            <w:gridSpan w:val="2"/>
          </w:tcPr>
          <w:p w14:paraId="07EB13F3" w14:textId="2E65CA0A" w:rsidR="006A3C3B" w:rsidRPr="00197967" w:rsidRDefault="00ED5410"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Documentation and accountability of time and personnel</w:t>
            </w:r>
            <w:r w:rsidR="006A3C3B" w:rsidRPr="00197967">
              <w:rPr>
                <w:rFonts w:ascii="Segoe UI Semilight" w:hAnsi="Segoe UI Semilight" w:cs="Segoe UI Semilight"/>
                <w:b w:val="0"/>
                <w:sz w:val="22"/>
                <w:szCs w:val="22"/>
              </w:rPr>
              <w:t>.</w:t>
            </w:r>
          </w:p>
          <w:p w14:paraId="28AB09F0" w14:textId="74B5B2C5" w:rsidR="006A3C3B" w:rsidRPr="00197967" w:rsidRDefault="006A3C3B"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p>
        </w:tc>
      </w:tr>
      <w:tr w:rsidR="00ED5410" w:rsidRPr="00197967" w14:paraId="5CD24D61"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AE43200" w14:textId="7BE1A28C" w:rsidR="00ED5410" w:rsidRPr="00664438" w:rsidRDefault="00ED5410" w:rsidP="00ED5410">
            <w:pPr>
              <w:spacing w:before="20" w:after="20"/>
              <w:rPr>
                <w:rFonts w:ascii="Segoe UI Semilight" w:hAnsi="Segoe UI Semilight" w:cs="Segoe UI Semilight"/>
                <w:b/>
                <w:sz w:val="22"/>
                <w:szCs w:val="22"/>
              </w:rPr>
            </w:pPr>
            <w:r w:rsidRPr="00664438">
              <w:rPr>
                <w:rFonts w:ascii="Segoe UI Semilight" w:hAnsi="Segoe UI Semilight" w:cs="Segoe UI Semilight"/>
                <w:b/>
                <w:sz w:val="22"/>
                <w:szCs w:val="22"/>
              </w:rPr>
              <w:t>DR Final Planning Agenda</w:t>
            </w:r>
          </w:p>
        </w:tc>
        <w:tc>
          <w:tcPr>
            <w:tcW w:w="6210" w:type="dxa"/>
            <w:gridSpan w:val="2"/>
          </w:tcPr>
          <w:p w14:paraId="16E0CA8F" w14:textId="77777777" w:rsidR="00ED5410" w:rsidRPr="00197967" w:rsidRDefault="00ED5410"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Finial agenda concerning the training objectives and goals for the DR exercise.</w:t>
            </w:r>
          </w:p>
          <w:p w14:paraId="5F5F0F14" w14:textId="5E1CEDEF" w:rsidR="006A3C3B" w:rsidRPr="00197967" w:rsidRDefault="006A3C3B" w:rsidP="00ED5410">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sz w:val="22"/>
                <w:szCs w:val="22"/>
              </w:rPr>
            </w:pPr>
          </w:p>
        </w:tc>
      </w:tr>
      <w:tr w:rsidR="00ED5410" w:rsidRPr="00197967" w14:paraId="560224D0"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76E690F" w14:textId="7A835739" w:rsidR="00ED5410" w:rsidRPr="00664438" w:rsidRDefault="00ED5410" w:rsidP="00ED5410">
            <w:pPr>
              <w:spacing w:before="20" w:after="20"/>
              <w:rPr>
                <w:rFonts w:ascii="Segoe UI Semilight" w:hAnsi="Segoe UI Semilight" w:cs="Segoe UI Semilight"/>
                <w:b/>
                <w:sz w:val="22"/>
                <w:szCs w:val="22"/>
              </w:rPr>
            </w:pPr>
            <w:r w:rsidRPr="00664438">
              <w:rPr>
                <w:rFonts w:ascii="Segoe UI Semilight" w:hAnsi="Segoe UI Semilight" w:cs="Segoe UI Semilight"/>
                <w:b/>
                <w:sz w:val="22"/>
                <w:szCs w:val="22"/>
              </w:rPr>
              <w:t xml:space="preserve">DR Exercise Evaluation </w:t>
            </w:r>
          </w:p>
        </w:tc>
        <w:tc>
          <w:tcPr>
            <w:tcW w:w="6210" w:type="dxa"/>
            <w:gridSpan w:val="2"/>
          </w:tcPr>
          <w:p w14:paraId="40D9E023" w14:textId="77777777" w:rsidR="00F25216" w:rsidRPr="00197967" w:rsidRDefault="00ED5410"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 xml:space="preserve">Observer form to use </w:t>
            </w:r>
            <w:r w:rsidR="00832F9D" w:rsidRPr="00197967">
              <w:rPr>
                <w:rFonts w:ascii="Segoe UI Semilight" w:hAnsi="Segoe UI Semilight" w:cs="Segoe UI Semilight"/>
                <w:b w:val="0"/>
                <w:sz w:val="22"/>
                <w:szCs w:val="22"/>
              </w:rPr>
              <w:t>to</w:t>
            </w:r>
            <w:r w:rsidRPr="00197967">
              <w:rPr>
                <w:rFonts w:ascii="Segoe UI Semilight" w:hAnsi="Segoe UI Semilight" w:cs="Segoe UI Semilight"/>
                <w:b w:val="0"/>
                <w:sz w:val="22"/>
                <w:szCs w:val="22"/>
              </w:rPr>
              <w:t xml:space="preserve"> evaluate the DR training</w:t>
            </w:r>
            <w:r w:rsidR="00F25216" w:rsidRPr="00197967">
              <w:rPr>
                <w:rFonts w:ascii="Segoe UI Semilight" w:hAnsi="Segoe UI Semilight" w:cs="Segoe UI Semilight"/>
                <w:b w:val="0"/>
                <w:sz w:val="22"/>
                <w:szCs w:val="22"/>
              </w:rPr>
              <w:t>.</w:t>
            </w:r>
          </w:p>
          <w:p w14:paraId="31C10C50" w14:textId="0F68C1A7" w:rsidR="00ED5410" w:rsidRPr="00197967" w:rsidRDefault="00ED5410" w:rsidP="00ED5410">
            <w:pPr>
              <w:spacing w:before="20" w:after="20"/>
              <w:cnfStyle w:val="000000010000" w:firstRow="0" w:lastRow="0" w:firstColumn="0" w:lastColumn="0" w:oddVBand="0" w:evenVBand="0" w:oddHBand="0" w:evenHBand="1" w:firstRowFirstColumn="0" w:firstRowLastColumn="0" w:lastRowFirstColumn="0" w:lastRowLastColumn="0"/>
              <w:rPr>
                <w:rFonts w:ascii="Segoe UI Semilight" w:hAnsi="Segoe UI Semilight" w:cs="Segoe UI Semilight"/>
                <w:b w:val="0"/>
                <w:sz w:val="22"/>
                <w:szCs w:val="22"/>
              </w:rPr>
            </w:pPr>
            <w:r w:rsidRPr="00197967">
              <w:rPr>
                <w:rFonts w:ascii="Segoe UI Semilight" w:hAnsi="Segoe UI Semilight" w:cs="Segoe UI Semilight"/>
                <w:b w:val="0"/>
                <w:sz w:val="22"/>
                <w:szCs w:val="22"/>
              </w:rPr>
              <w:t xml:space="preserve"> </w:t>
            </w:r>
          </w:p>
        </w:tc>
      </w:tr>
      <w:tr w:rsidR="00CA3B7F" w:rsidRPr="00197967" w14:paraId="2ECDA9D8"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0CE0CD1" w14:textId="0A2FBA81" w:rsidR="00CA3B7F" w:rsidRPr="00664438" w:rsidRDefault="00CA3B7F" w:rsidP="00664438">
            <w:pPr>
              <w:pStyle w:val="Style1"/>
              <w:rPr>
                <w:b/>
              </w:rPr>
            </w:pPr>
            <w:r w:rsidRPr="00664438">
              <w:rPr>
                <w:b/>
              </w:rPr>
              <w:t>IR Lesson Learned Form</w:t>
            </w:r>
          </w:p>
        </w:tc>
        <w:tc>
          <w:tcPr>
            <w:tcW w:w="6210" w:type="dxa"/>
            <w:gridSpan w:val="2"/>
          </w:tcPr>
          <w:p w14:paraId="6412A68D" w14:textId="77777777" w:rsidR="00CA3B7F" w:rsidRPr="00197967" w:rsidRDefault="00CA3B7F" w:rsidP="00CA3B7F">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b w:val="0"/>
                <w:bCs/>
                <w:sz w:val="22"/>
                <w:szCs w:val="22"/>
              </w:rPr>
            </w:pPr>
            <w:r w:rsidRPr="00197967">
              <w:rPr>
                <w:rFonts w:ascii="Segoe UI Semilight" w:hAnsi="Segoe UI Semilight" w:cs="Segoe UI Semilight"/>
                <w:b w:val="0"/>
                <w:bCs/>
                <w:sz w:val="22"/>
                <w:szCs w:val="22"/>
              </w:rPr>
              <w:t>Formed to log any Lessons Learned following an incident which are then taken to create an Improvement Plan.</w:t>
            </w:r>
          </w:p>
          <w:p w14:paraId="2BCE9242" w14:textId="77777777" w:rsidR="00CA3B7F" w:rsidRPr="00197967" w:rsidRDefault="00CA3B7F" w:rsidP="00CA3B7F">
            <w:pPr>
              <w:spacing w:before="20" w:after="20"/>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sz w:val="22"/>
                <w:szCs w:val="22"/>
              </w:rPr>
            </w:pPr>
          </w:p>
        </w:tc>
      </w:tr>
      <w:tr w:rsidR="00CA3B7F" w:rsidRPr="00197967" w14:paraId="45A65B89"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01E6E8B" w14:textId="0F504CB5" w:rsidR="00CA3B7F" w:rsidRPr="00664438" w:rsidRDefault="00CA3B7F" w:rsidP="00664438">
            <w:pPr>
              <w:pStyle w:val="Style1"/>
              <w:rPr>
                <w:b/>
              </w:rPr>
            </w:pPr>
            <w:r w:rsidRPr="00664438">
              <w:rPr>
                <w:b/>
              </w:rPr>
              <w:t>DR After Action Agenda</w:t>
            </w:r>
          </w:p>
        </w:tc>
        <w:tc>
          <w:tcPr>
            <w:tcW w:w="6210" w:type="dxa"/>
            <w:gridSpan w:val="2"/>
          </w:tcPr>
          <w:p w14:paraId="7031CCB8"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Identifies what needs to be addressed in After Action Meeting.</w:t>
            </w:r>
          </w:p>
          <w:p w14:paraId="1A83998C"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Cs/>
              </w:rPr>
            </w:pPr>
          </w:p>
        </w:tc>
      </w:tr>
      <w:tr w:rsidR="00CA3B7F" w:rsidRPr="00197967" w14:paraId="7308FE86"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FA1C583" w14:textId="5D8709FA" w:rsidR="00CA3B7F" w:rsidRPr="00664438" w:rsidRDefault="00CA3B7F" w:rsidP="00664438">
            <w:pPr>
              <w:pStyle w:val="Style1"/>
              <w:rPr>
                <w:b/>
              </w:rPr>
            </w:pPr>
            <w:r w:rsidRPr="00664438">
              <w:rPr>
                <w:b/>
              </w:rPr>
              <w:t>DR Report and Improvement Plan</w:t>
            </w:r>
          </w:p>
        </w:tc>
        <w:tc>
          <w:tcPr>
            <w:tcW w:w="6210" w:type="dxa"/>
            <w:gridSpan w:val="2"/>
          </w:tcPr>
          <w:p w14:paraId="476DFCC8"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Disaster recovery report outlining all actions taken during DR as well as lessons learned and Improvements to be taken.</w:t>
            </w:r>
          </w:p>
          <w:p w14:paraId="4C22EDC8" w14:textId="589AD86F"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2207B4DA"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AE055D4" w14:textId="03FD73B2" w:rsidR="00CA3B7F" w:rsidRPr="00664438" w:rsidRDefault="00CA3B7F" w:rsidP="00664438">
            <w:pPr>
              <w:pStyle w:val="Style1"/>
              <w:rPr>
                <w:b/>
              </w:rPr>
            </w:pPr>
            <w:r w:rsidRPr="00664438">
              <w:rPr>
                <w:b/>
              </w:rPr>
              <w:t>IR Responsibilities and Positions</w:t>
            </w:r>
          </w:p>
        </w:tc>
        <w:tc>
          <w:tcPr>
            <w:tcW w:w="6210" w:type="dxa"/>
            <w:gridSpan w:val="2"/>
          </w:tcPr>
          <w:p w14:paraId="53F9D7BD"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Lists IR Handling Team and Team Members, along with their roles and responsibilities.</w:t>
            </w:r>
          </w:p>
          <w:p w14:paraId="0B499C8E" w14:textId="1F63D54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51B34CA0"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0F1426C" w14:textId="62DF459C" w:rsidR="00CA3B7F" w:rsidRPr="00664438" w:rsidRDefault="00CA3B7F" w:rsidP="00664438">
            <w:pPr>
              <w:pStyle w:val="Style1"/>
              <w:rPr>
                <w:b/>
              </w:rPr>
            </w:pPr>
            <w:r w:rsidRPr="00664438">
              <w:rPr>
                <w:b/>
              </w:rPr>
              <w:t>Incident Categorization</w:t>
            </w:r>
          </w:p>
        </w:tc>
        <w:tc>
          <w:tcPr>
            <w:tcW w:w="6210" w:type="dxa"/>
            <w:gridSpan w:val="2"/>
          </w:tcPr>
          <w:p w14:paraId="1816521D"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Provides description, priority level, and category guidelines for Incidents.</w:t>
            </w:r>
          </w:p>
          <w:p w14:paraId="728E21CB" w14:textId="61F1E620"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310A86F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0279498" w14:textId="49889634" w:rsidR="00CA3B7F" w:rsidRPr="00664438" w:rsidRDefault="00CA3B7F" w:rsidP="00664438">
            <w:pPr>
              <w:pStyle w:val="Style1"/>
              <w:rPr>
                <w:b/>
              </w:rPr>
            </w:pPr>
            <w:r w:rsidRPr="00664438">
              <w:rPr>
                <w:b/>
              </w:rPr>
              <w:t>Tech Incident Response Requirements</w:t>
            </w:r>
          </w:p>
        </w:tc>
        <w:tc>
          <w:tcPr>
            <w:tcW w:w="6210" w:type="dxa"/>
            <w:gridSpan w:val="2"/>
          </w:tcPr>
          <w:p w14:paraId="53B68E21"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Lists the minimum baseline configuration requirements for various devices to be able to support efficient and rapid responses to incidents and forensic investigations.</w:t>
            </w:r>
          </w:p>
          <w:p w14:paraId="797C4FB3" w14:textId="609F20B4"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703F2B01"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A3C0D6F" w14:textId="60C6E423" w:rsidR="00CA3B7F" w:rsidRPr="00664438" w:rsidRDefault="00CA3B7F" w:rsidP="00664438">
            <w:pPr>
              <w:pStyle w:val="Style1"/>
              <w:rPr>
                <w:b/>
              </w:rPr>
            </w:pPr>
            <w:r w:rsidRPr="00664438">
              <w:rPr>
                <w:b/>
              </w:rPr>
              <w:t>IR Report Template</w:t>
            </w:r>
          </w:p>
        </w:tc>
        <w:tc>
          <w:tcPr>
            <w:tcW w:w="6210" w:type="dxa"/>
            <w:gridSpan w:val="2"/>
          </w:tcPr>
          <w:p w14:paraId="0A89FD98" w14:textId="54F7E2E8"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Template to create IR Reports. To be used as soon as an incident has been identified, updated during the incident, and closed when incident has been resolved. Document to capture all relevant IR information.</w:t>
            </w:r>
          </w:p>
          <w:p w14:paraId="0CDC0882" w14:textId="2B58D902"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06D5B9C1"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580D2B4" w14:textId="0B8D0662" w:rsidR="00CA3B7F" w:rsidRPr="00664438" w:rsidRDefault="00CA3B7F" w:rsidP="00664438">
            <w:pPr>
              <w:pStyle w:val="Style1"/>
              <w:rPr>
                <w:b/>
              </w:rPr>
            </w:pPr>
            <w:r w:rsidRPr="00664438">
              <w:rPr>
                <w:b/>
              </w:rPr>
              <w:t>Incident Management Log</w:t>
            </w:r>
          </w:p>
        </w:tc>
        <w:tc>
          <w:tcPr>
            <w:tcW w:w="6210" w:type="dxa"/>
            <w:gridSpan w:val="2"/>
          </w:tcPr>
          <w:p w14:paraId="642F64B7"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Form to record Date/Time, Action/Event, Reported/Performed by, and Details of IR as the incident progresses. An electronic ticket system can be used as well, if available.</w:t>
            </w:r>
          </w:p>
          <w:p w14:paraId="0A1FF3B9" w14:textId="44C8BE0A"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6D3EC938"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4FE9DF5" w14:textId="14F7CFB0" w:rsidR="00CA3B7F" w:rsidRPr="00664438" w:rsidRDefault="00CA3B7F" w:rsidP="00664438">
            <w:pPr>
              <w:pStyle w:val="Style1"/>
              <w:rPr>
                <w:b/>
              </w:rPr>
            </w:pPr>
            <w:r w:rsidRPr="00664438">
              <w:rPr>
                <w:b/>
              </w:rPr>
              <w:t>Incident Response Toolkit</w:t>
            </w:r>
          </w:p>
        </w:tc>
        <w:tc>
          <w:tcPr>
            <w:tcW w:w="6210" w:type="dxa"/>
            <w:gridSpan w:val="2"/>
          </w:tcPr>
          <w:p w14:paraId="380ACC3A"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List of IR Tools and open-source tools for incident responses, network monitoring, SIEM and forensic analysis. Tools can be downloaded from the Internet.</w:t>
            </w:r>
          </w:p>
          <w:p w14:paraId="06FE84F1" w14:textId="0937AD94"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0B2A0AEE"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8A69365" w14:textId="3EAF8BE9" w:rsidR="00CA3B7F" w:rsidRPr="00664438" w:rsidRDefault="00CA3B7F" w:rsidP="00664438">
            <w:pPr>
              <w:pStyle w:val="Style1"/>
              <w:rPr>
                <w:b/>
              </w:rPr>
            </w:pPr>
            <w:r w:rsidRPr="00664438">
              <w:rPr>
                <w:b/>
              </w:rPr>
              <w:lastRenderedPageBreak/>
              <w:t>Third Party Risk Management</w:t>
            </w:r>
          </w:p>
        </w:tc>
        <w:tc>
          <w:tcPr>
            <w:tcW w:w="6210" w:type="dxa"/>
            <w:gridSpan w:val="2"/>
          </w:tcPr>
          <w:p w14:paraId="4E05D350"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Defines requirements for establishing Third-Party Risk Management program to minimize risk for cyber security incidents and breaches related to subcontractors, vendors and other entities providing services.</w:t>
            </w:r>
          </w:p>
          <w:p w14:paraId="7971507F" w14:textId="11498F29"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6FA33682"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79102A6" w14:textId="2E6FB257" w:rsidR="00CA3B7F" w:rsidRPr="00664438" w:rsidRDefault="00CA3B7F" w:rsidP="00664438">
            <w:pPr>
              <w:pStyle w:val="Style1"/>
              <w:rPr>
                <w:b/>
              </w:rPr>
            </w:pPr>
            <w:r w:rsidRPr="00664438">
              <w:rPr>
                <w:b/>
              </w:rPr>
              <w:t>Incident Response Organizations</w:t>
            </w:r>
          </w:p>
        </w:tc>
        <w:tc>
          <w:tcPr>
            <w:tcW w:w="6210" w:type="dxa"/>
            <w:gridSpan w:val="2"/>
          </w:tcPr>
          <w:p w14:paraId="5412A1F3"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Provides a list of organizations that handle IR and how to contact them.</w:t>
            </w:r>
          </w:p>
          <w:p w14:paraId="411F7A4A" w14:textId="1F8F35E0"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6D9589D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4A48C65" w14:textId="6D37299F" w:rsidR="00CA3B7F" w:rsidRPr="00664438" w:rsidRDefault="00CA3B7F" w:rsidP="00664438">
            <w:pPr>
              <w:pStyle w:val="Style1"/>
              <w:rPr>
                <w:b/>
              </w:rPr>
            </w:pPr>
            <w:r w:rsidRPr="00664438">
              <w:rPr>
                <w:b/>
              </w:rPr>
              <w:t>Incident Response Times and SLAs</w:t>
            </w:r>
          </w:p>
        </w:tc>
        <w:tc>
          <w:tcPr>
            <w:tcW w:w="6210" w:type="dxa"/>
            <w:gridSpan w:val="2"/>
          </w:tcPr>
          <w:p w14:paraId="5293A4E5"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Provides guidance on agreed upon service response times based on their priority.</w:t>
            </w:r>
          </w:p>
          <w:p w14:paraId="77AAC6B2" w14:textId="2DFCB40A"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33056472"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107C50A" w14:textId="6675BA98" w:rsidR="00CA3B7F" w:rsidRPr="00664438" w:rsidRDefault="00CA3B7F" w:rsidP="00664438">
            <w:pPr>
              <w:pStyle w:val="Style1"/>
              <w:rPr>
                <w:b/>
              </w:rPr>
            </w:pPr>
            <w:r w:rsidRPr="00664438">
              <w:rPr>
                <w:b/>
              </w:rPr>
              <w:t>IR Forensic Intake Form</w:t>
            </w:r>
          </w:p>
        </w:tc>
        <w:tc>
          <w:tcPr>
            <w:tcW w:w="6210" w:type="dxa"/>
            <w:gridSpan w:val="2"/>
          </w:tcPr>
          <w:p w14:paraId="7C0AB474" w14:textId="7E4765A9"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Details on media (HDD) materials / chain of custody.</w:t>
            </w:r>
          </w:p>
          <w:p w14:paraId="421ECF59" w14:textId="2EC5F9BE"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6680581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87C9FA5" w14:textId="290DAE04" w:rsidR="00CA3B7F" w:rsidRPr="00664438" w:rsidRDefault="00CA3B7F" w:rsidP="00664438">
            <w:pPr>
              <w:pStyle w:val="Style1"/>
              <w:rPr>
                <w:b/>
              </w:rPr>
            </w:pPr>
            <w:r w:rsidRPr="00664438">
              <w:rPr>
                <w:b/>
              </w:rPr>
              <w:t xml:space="preserve">IR Chain of Custody </w:t>
            </w:r>
          </w:p>
        </w:tc>
        <w:tc>
          <w:tcPr>
            <w:tcW w:w="6210" w:type="dxa"/>
            <w:gridSpan w:val="2"/>
          </w:tcPr>
          <w:p w14:paraId="1737EA72"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Control of received and/or released items for an investigation.</w:t>
            </w:r>
          </w:p>
          <w:p w14:paraId="00054DA5" w14:textId="6F7C8645"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5360D857"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C933B3C" w14:textId="5F434F00" w:rsidR="00CA3B7F" w:rsidRPr="00664438" w:rsidRDefault="00CA3B7F" w:rsidP="00664438">
            <w:pPr>
              <w:pStyle w:val="Style1"/>
              <w:rPr>
                <w:b/>
              </w:rPr>
            </w:pPr>
            <w:r w:rsidRPr="00664438">
              <w:rPr>
                <w:b/>
              </w:rPr>
              <w:t>DR Requirements Industries</w:t>
            </w:r>
          </w:p>
        </w:tc>
        <w:tc>
          <w:tcPr>
            <w:tcW w:w="6210" w:type="dxa"/>
            <w:gridSpan w:val="2"/>
          </w:tcPr>
          <w:p w14:paraId="73D07F3F"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Highlights the requirements for all key industries related to IT Disaster Recovery.</w:t>
            </w:r>
          </w:p>
          <w:p w14:paraId="57542D75" w14:textId="7DBA6C0F"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51B07BB6"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ACE9C57" w14:textId="7CAD7832" w:rsidR="00CA3B7F" w:rsidRPr="00664438" w:rsidRDefault="00CA3B7F" w:rsidP="00664438">
            <w:pPr>
              <w:pStyle w:val="Style1"/>
              <w:rPr>
                <w:b/>
              </w:rPr>
            </w:pPr>
            <w:r w:rsidRPr="00664438">
              <w:rPr>
                <w:b/>
              </w:rPr>
              <w:t>Risk Management Plan</w:t>
            </w:r>
          </w:p>
        </w:tc>
        <w:tc>
          <w:tcPr>
            <w:tcW w:w="6210" w:type="dxa"/>
            <w:gridSpan w:val="2"/>
          </w:tcPr>
          <w:p w14:paraId="7B0ABDB3"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Details the organization's risk management process, risk analysis, scoring and management.</w:t>
            </w:r>
          </w:p>
          <w:p w14:paraId="53507BF6" w14:textId="01C844F9"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rFonts w:ascii="Times New Roman" w:hAnsi="Times New Roman"/>
                <w:b w:val="0"/>
              </w:rPr>
            </w:pPr>
          </w:p>
        </w:tc>
      </w:tr>
      <w:tr w:rsidR="00CA3B7F" w:rsidRPr="00197967" w14:paraId="47FC86B9"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9DEF1DD" w14:textId="6E667DA9" w:rsidR="00CA3B7F" w:rsidRPr="00664438" w:rsidRDefault="00CA3B7F" w:rsidP="00664438">
            <w:pPr>
              <w:pStyle w:val="Style1"/>
              <w:rPr>
                <w:b/>
              </w:rPr>
            </w:pPr>
            <w:r w:rsidRPr="00664438">
              <w:rPr>
                <w:b/>
              </w:rPr>
              <w:t>IT Disaster Recovery Plan Template</w:t>
            </w:r>
          </w:p>
        </w:tc>
        <w:tc>
          <w:tcPr>
            <w:tcW w:w="6210" w:type="dxa"/>
            <w:gridSpan w:val="2"/>
          </w:tcPr>
          <w:p w14:paraId="04531138"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Provides guidance on how the business will recover after an IT disaster.</w:t>
            </w:r>
          </w:p>
          <w:p w14:paraId="58F19C0D" w14:textId="6890567E"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36078F1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0EEDAE3" w14:textId="3AFF0FC6" w:rsidR="00CA3B7F" w:rsidRPr="00664438" w:rsidRDefault="00CA3B7F" w:rsidP="00664438">
            <w:pPr>
              <w:pStyle w:val="Style1"/>
              <w:rPr>
                <w:b/>
              </w:rPr>
            </w:pPr>
            <w:r w:rsidRPr="00664438">
              <w:rPr>
                <w:b/>
              </w:rPr>
              <w:t>Business Impact Analysis Template</w:t>
            </w:r>
          </w:p>
        </w:tc>
        <w:tc>
          <w:tcPr>
            <w:tcW w:w="6210" w:type="dxa"/>
            <w:gridSpan w:val="2"/>
          </w:tcPr>
          <w:p w14:paraId="0B71AAC2"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Template to create a Business Impact Analysis for Risk Management and Disaster Recovery for each IT System, assets, and business processes.</w:t>
            </w:r>
          </w:p>
          <w:p w14:paraId="364FFF72" w14:textId="4CB9B56B"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5BA3B65A"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B09DEB7" w14:textId="32E371AD" w:rsidR="00CA3B7F" w:rsidRPr="00664438" w:rsidRDefault="00CA3B7F" w:rsidP="00664438">
            <w:pPr>
              <w:pStyle w:val="Style1"/>
              <w:rPr>
                <w:b/>
                <w:bCs/>
              </w:rPr>
            </w:pPr>
            <w:r w:rsidRPr="00664438">
              <w:rPr>
                <w:b/>
                <w:bCs/>
              </w:rPr>
              <w:t>Risk Register and Acceptance</w:t>
            </w:r>
          </w:p>
        </w:tc>
        <w:tc>
          <w:tcPr>
            <w:tcW w:w="6210" w:type="dxa"/>
            <w:gridSpan w:val="2"/>
          </w:tcPr>
          <w:p w14:paraId="1F52F625"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Register to contain all identified and assessed risks and status updates. A living document to be updated as risks are identified and/or closed.</w:t>
            </w:r>
          </w:p>
          <w:p w14:paraId="24B1FF81" w14:textId="57A2E5B3"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2FC29A1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2978744" w14:textId="24D9ABE5" w:rsidR="00CA3B7F" w:rsidRPr="00664438" w:rsidRDefault="00CA3B7F" w:rsidP="00664438">
            <w:pPr>
              <w:pStyle w:val="Style1"/>
              <w:rPr>
                <w:b/>
                <w:bCs/>
              </w:rPr>
            </w:pPr>
            <w:r w:rsidRPr="00664438">
              <w:rPr>
                <w:b/>
                <w:bCs/>
              </w:rPr>
              <w:t>IR - Where to start</w:t>
            </w:r>
          </w:p>
        </w:tc>
        <w:tc>
          <w:tcPr>
            <w:tcW w:w="6210" w:type="dxa"/>
            <w:gridSpan w:val="2"/>
          </w:tcPr>
          <w:p w14:paraId="56383608"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IR cheat sheet providing process overview and lists which documents to use when, and at what stage of the Incident Response Life Cycle.</w:t>
            </w:r>
          </w:p>
          <w:p w14:paraId="7A2D1D1B" w14:textId="5300869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0D693457"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79EDD0B" w14:textId="20163F87" w:rsidR="00CA3B7F" w:rsidRPr="00664438" w:rsidRDefault="00CA3B7F" w:rsidP="00664438">
            <w:pPr>
              <w:pStyle w:val="Style1"/>
              <w:rPr>
                <w:b/>
                <w:bCs/>
              </w:rPr>
            </w:pPr>
            <w:r w:rsidRPr="00664438">
              <w:rPr>
                <w:b/>
                <w:bCs/>
              </w:rPr>
              <w:t>IR Tabletop Exercise Full</w:t>
            </w:r>
          </w:p>
        </w:tc>
        <w:tc>
          <w:tcPr>
            <w:tcW w:w="6210" w:type="dxa"/>
            <w:gridSpan w:val="2"/>
          </w:tcPr>
          <w:p w14:paraId="12D6DB2C"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A detailed, full-blown incident response tabletop exercise.</w:t>
            </w:r>
          </w:p>
          <w:p w14:paraId="0492C3AB" w14:textId="01BB8B2C"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3E62EE08"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77ABD53" w14:textId="77777777" w:rsidR="00CA3B7F" w:rsidRPr="00664438" w:rsidRDefault="00CA3B7F" w:rsidP="00664438">
            <w:pPr>
              <w:pStyle w:val="Style1"/>
              <w:rPr>
                <w:b/>
                <w:bCs/>
              </w:rPr>
            </w:pPr>
            <w:r w:rsidRPr="00664438">
              <w:rPr>
                <w:b/>
                <w:bCs/>
              </w:rPr>
              <w:t>IR Tabletop Exercise Examples</w:t>
            </w:r>
          </w:p>
        </w:tc>
        <w:tc>
          <w:tcPr>
            <w:tcW w:w="6210" w:type="dxa"/>
            <w:gridSpan w:val="2"/>
          </w:tcPr>
          <w:p w14:paraId="6C895B1C"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Incident response exercises to test and enforce incident repones, test staff and existing processes. Document provides guidelines on how to set up Tabletop exercises with examples.</w:t>
            </w:r>
          </w:p>
          <w:p w14:paraId="5ABDCCB4" w14:textId="661C738A"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234EC72B"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B052E6D" w14:textId="31010713" w:rsidR="00CA3B7F" w:rsidRPr="00664438" w:rsidRDefault="00CA3B7F" w:rsidP="00664438">
            <w:pPr>
              <w:pStyle w:val="Style1"/>
              <w:rPr>
                <w:b/>
                <w:bCs/>
              </w:rPr>
            </w:pPr>
            <w:r w:rsidRPr="00664438">
              <w:rPr>
                <w:b/>
                <w:bCs/>
              </w:rPr>
              <w:lastRenderedPageBreak/>
              <w:t>Incident Notification Form - Version 1</w:t>
            </w:r>
          </w:p>
        </w:tc>
        <w:tc>
          <w:tcPr>
            <w:tcW w:w="6210" w:type="dxa"/>
            <w:gridSpan w:val="2"/>
          </w:tcPr>
          <w:p w14:paraId="691B2FAA"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Long and more detailed incident intake form to be used when incident has been identified and needs to be reported to CIRT team for investigation. If electronic ticket system is used, this document should serve as a guideline as to what information is to be collected and passed to CIRT team.</w:t>
            </w:r>
          </w:p>
          <w:p w14:paraId="30D2D554" w14:textId="0B12BE4C"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2BBCCECE"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03B7352" w14:textId="308ACE19" w:rsidR="00CA3B7F" w:rsidRPr="00664438" w:rsidRDefault="00CA3B7F" w:rsidP="00664438">
            <w:pPr>
              <w:pStyle w:val="Style1"/>
              <w:rPr>
                <w:b/>
                <w:bCs/>
              </w:rPr>
            </w:pPr>
            <w:r w:rsidRPr="00664438">
              <w:rPr>
                <w:b/>
                <w:bCs/>
              </w:rPr>
              <w:t>Incident Notification Form - Version 2</w:t>
            </w:r>
          </w:p>
        </w:tc>
        <w:tc>
          <w:tcPr>
            <w:tcW w:w="6210" w:type="dxa"/>
            <w:gridSpan w:val="2"/>
          </w:tcPr>
          <w:p w14:paraId="3FC8C5B1"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Simple incident intake form to be used when incident has been identified and needs to be reported to CIRT team for investigation. If electronic ticket system is used, this document should serve as guideline what information is to be collected and passed to CIRT team.</w:t>
            </w:r>
          </w:p>
          <w:p w14:paraId="23C3DB32" w14:textId="2F648ED8"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0DE05521"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5566CD0" w14:textId="0B9B9898" w:rsidR="00CA3B7F" w:rsidRPr="00664438" w:rsidRDefault="00CA3B7F" w:rsidP="00664438">
            <w:pPr>
              <w:pStyle w:val="Style1"/>
              <w:rPr>
                <w:b/>
                <w:bCs/>
              </w:rPr>
            </w:pPr>
            <w:r w:rsidRPr="00664438">
              <w:rPr>
                <w:b/>
                <w:bCs/>
              </w:rPr>
              <w:t>IR Operations Checklist</w:t>
            </w:r>
          </w:p>
        </w:tc>
        <w:tc>
          <w:tcPr>
            <w:tcW w:w="6210" w:type="dxa"/>
            <w:gridSpan w:val="2"/>
          </w:tcPr>
          <w:p w14:paraId="4517715B"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Checklist to be used by IR Ops.</w:t>
            </w:r>
          </w:p>
          <w:p w14:paraId="5F990EF9" w14:textId="619FA8B1"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714CF587"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22E9153" w14:textId="5A8105D7" w:rsidR="00CA3B7F" w:rsidRPr="00664438" w:rsidRDefault="00CA3B7F" w:rsidP="00664438">
            <w:pPr>
              <w:pStyle w:val="Style1"/>
              <w:rPr>
                <w:b/>
                <w:bCs/>
              </w:rPr>
            </w:pPr>
            <w:r w:rsidRPr="00664438">
              <w:rPr>
                <w:b/>
                <w:bCs/>
              </w:rPr>
              <w:t>IR Tracking and Reporting</w:t>
            </w:r>
          </w:p>
        </w:tc>
        <w:tc>
          <w:tcPr>
            <w:tcW w:w="6210" w:type="dxa"/>
            <w:gridSpan w:val="2"/>
          </w:tcPr>
          <w:p w14:paraId="191E4A7A"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Provides guidelines on what IR data is to be tracked for improvement, cost, trending, and reporting.</w:t>
            </w:r>
          </w:p>
          <w:p w14:paraId="7F8A2226" w14:textId="1454ED3F"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4C915492"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0742146" w14:textId="45134658" w:rsidR="00CA3B7F" w:rsidRPr="00664438" w:rsidRDefault="00CA3B7F" w:rsidP="00664438">
            <w:pPr>
              <w:pStyle w:val="Style1"/>
              <w:rPr>
                <w:b/>
                <w:bCs/>
              </w:rPr>
            </w:pPr>
            <w:r w:rsidRPr="00664438">
              <w:rPr>
                <w:b/>
                <w:bCs/>
              </w:rPr>
              <w:t>IR Acronyms</w:t>
            </w:r>
          </w:p>
        </w:tc>
        <w:tc>
          <w:tcPr>
            <w:tcW w:w="6210" w:type="dxa"/>
            <w:gridSpan w:val="2"/>
          </w:tcPr>
          <w:p w14:paraId="2486E9E7"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List of commonly used acronyms.</w:t>
            </w:r>
          </w:p>
          <w:p w14:paraId="722D3D30" w14:textId="5D65C6C2"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1A679450"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E6641DF" w14:textId="56C61FEF" w:rsidR="00CA3B7F" w:rsidRPr="00664438" w:rsidRDefault="00CA3B7F" w:rsidP="00664438">
            <w:pPr>
              <w:pStyle w:val="Style1"/>
              <w:rPr>
                <w:b/>
                <w:bCs/>
              </w:rPr>
            </w:pPr>
            <w:r w:rsidRPr="00664438">
              <w:rPr>
                <w:b/>
                <w:bCs/>
              </w:rPr>
              <w:t>IR Financial Tracker</w:t>
            </w:r>
          </w:p>
        </w:tc>
        <w:tc>
          <w:tcPr>
            <w:tcW w:w="6210" w:type="dxa"/>
            <w:gridSpan w:val="2"/>
          </w:tcPr>
          <w:p w14:paraId="5222F15B"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Form to help track finances deployed during an incident.</w:t>
            </w:r>
          </w:p>
          <w:p w14:paraId="33FA0A3D" w14:textId="2388CCBB"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2CB27BF8"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2B185DA" w14:textId="3A8A6D43" w:rsidR="00CA3B7F" w:rsidRPr="00664438" w:rsidRDefault="00CA3B7F" w:rsidP="00664438">
            <w:pPr>
              <w:pStyle w:val="Style1"/>
              <w:rPr>
                <w:b/>
                <w:bCs/>
              </w:rPr>
            </w:pPr>
            <w:r w:rsidRPr="00664438">
              <w:rPr>
                <w:b/>
                <w:bCs/>
              </w:rPr>
              <w:t>IR Document usage list</w:t>
            </w:r>
          </w:p>
        </w:tc>
        <w:tc>
          <w:tcPr>
            <w:tcW w:w="6210" w:type="dxa"/>
            <w:gridSpan w:val="2"/>
          </w:tcPr>
          <w:p w14:paraId="7DABEA87"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Overview of all documents created for this project that outlines their purpose and links to SharePoint for download.</w:t>
            </w:r>
          </w:p>
          <w:p w14:paraId="3F68A5EE" w14:textId="21921E94"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445FF4A3"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40E2504" w14:textId="6C27D8C8" w:rsidR="00CA3B7F" w:rsidRPr="00664438" w:rsidRDefault="00CA3B7F" w:rsidP="00664438">
            <w:pPr>
              <w:pStyle w:val="Style1"/>
              <w:rPr>
                <w:b/>
                <w:bCs/>
              </w:rPr>
            </w:pPr>
            <w:r w:rsidRPr="00664438">
              <w:rPr>
                <w:b/>
                <w:bCs/>
              </w:rPr>
              <w:t>Virus outbreak</w:t>
            </w:r>
          </w:p>
        </w:tc>
        <w:tc>
          <w:tcPr>
            <w:tcW w:w="6210" w:type="dxa"/>
            <w:gridSpan w:val="2"/>
          </w:tcPr>
          <w:p w14:paraId="149B9522"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4DAEC247" w14:textId="47514A48"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114F773D"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DC46521" w14:textId="54B23A01" w:rsidR="00CA3B7F" w:rsidRPr="00664438" w:rsidRDefault="00CA3B7F" w:rsidP="00664438">
            <w:pPr>
              <w:pStyle w:val="Style1"/>
              <w:rPr>
                <w:b/>
                <w:bCs/>
              </w:rPr>
            </w:pPr>
            <w:r w:rsidRPr="00664438">
              <w:rPr>
                <w:b/>
                <w:bCs/>
              </w:rPr>
              <w:t>Unauthorized Access</w:t>
            </w:r>
          </w:p>
        </w:tc>
        <w:tc>
          <w:tcPr>
            <w:tcW w:w="6210" w:type="dxa"/>
            <w:gridSpan w:val="2"/>
          </w:tcPr>
          <w:p w14:paraId="4DAE9301"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52689601" w14:textId="2FB4FF30"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09762FC3"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09E0E97" w14:textId="655141D7" w:rsidR="00CA3B7F" w:rsidRPr="00664438" w:rsidRDefault="00CA3B7F" w:rsidP="00664438">
            <w:pPr>
              <w:pStyle w:val="Style1"/>
              <w:rPr>
                <w:b/>
                <w:bCs/>
              </w:rPr>
            </w:pPr>
            <w:r w:rsidRPr="00664438">
              <w:rPr>
                <w:b/>
                <w:bCs/>
              </w:rPr>
              <w:t>Root Access</w:t>
            </w:r>
          </w:p>
        </w:tc>
        <w:tc>
          <w:tcPr>
            <w:tcW w:w="6210" w:type="dxa"/>
            <w:gridSpan w:val="2"/>
          </w:tcPr>
          <w:p w14:paraId="68803D6B"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3AA28FDF" w14:textId="3D4A5A8A"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3D9ACCF6"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61305D6" w14:textId="74E0F07A" w:rsidR="00CA3B7F" w:rsidRPr="00664438" w:rsidRDefault="00CA3B7F" w:rsidP="00664438">
            <w:pPr>
              <w:pStyle w:val="Style1"/>
              <w:rPr>
                <w:b/>
                <w:bCs/>
              </w:rPr>
            </w:pPr>
            <w:r w:rsidRPr="00664438">
              <w:rPr>
                <w:b/>
                <w:bCs/>
              </w:rPr>
              <w:t>Phishing</w:t>
            </w:r>
          </w:p>
        </w:tc>
        <w:tc>
          <w:tcPr>
            <w:tcW w:w="6210" w:type="dxa"/>
            <w:gridSpan w:val="2"/>
          </w:tcPr>
          <w:p w14:paraId="7BBCED58"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72D3ACD8" w14:textId="1AC1112F"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75408C00"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6B5C1D2" w14:textId="46FFD420" w:rsidR="00CA3B7F" w:rsidRPr="00664438" w:rsidRDefault="00CA3B7F" w:rsidP="00664438">
            <w:pPr>
              <w:pStyle w:val="Style1"/>
              <w:rPr>
                <w:b/>
                <w:bCs/>
              </w:rPr>
            </w:pPr>
            <w:r w:rsidRPr="00664438">
              <w:rPr>
                <w:b/>
                <w:bCs/>
              </w:rPr>
              <w:t>Improper Computer Usage</w:t>
            </w:r>
          </w:p>
        </w:tc>
        <w:tc>
          <w:tcPr>
            <w:tcW w:w="6210" w:type="dxa"/>
            <w:gridSpan w:val="2"/>
          </w:tcPr>
          <w:p w14:paraId="4CDD851B"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35D987EE" w14:textId="19EA4ECB"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37C326ED"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847D456" w14:textId="29DF6086" w:rsidR="00CA3B7F" w:rsidRPr="00664438" w:rsidRDefault="00CA3B7F" w:rsidP="00664438">
            <w:pPr>
              <w:pStyle w:val="Style1"/>
              <w:rPr>
                <w:b/>
                <w:bCs/>
              </w:rPr>
            </w:pPr>
            <w:r w:rsidRPr="00664438">
              <w:rPr>
                <w:b/>
                <w:bCs/>
              </w:rPr>
              <w:lastRenderedPageBreak/>
              <w:t>Elevation of Privilege</w:t>
            </w:r>
          </w:p>
        </w:tc>
        <w:tc>
          <w:tcPr>
            <w:tcW w:w="6210" w:type="dxa"/>
            <w:gridSpan w:val="2"/>
          </w:tcPr>
          <w:p w14:paraId="14175C74"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06A9B64C" w14:textId="694841F6"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rsidRPr="00197967" w14:paraId="48413EB5"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4B9171B" w14:textId="69CF840D" w:rsidR="00CA3B7F" w:rsidRPr="00664438" w:rsidRDefault="00CA3B7F" w:rsidP="00664438">
            <w:pPr>
              <w:pStyle w:val="Style1"/>
              <w:rPr>
                <w:b/>
                <w:bCs/>
              </w:rPr>
            </w:pPr>
            <w:r w:rsidRPr="00664438">
              <w:rPr>
                <w:b/>
                <w:bCs/>
              </w:rPr>
              <w:t>Data Theft</w:t>
            </w:r>
          </w:p>
        </w:tc>
        <w:tc>
          <w:tcPr>
            <w:tcW w:w="6210" w:type="dxa"/>
            <w:gridSpan w:val="2"/>
          </w:tcPr>
          <w:p w14:paraId="141D4B77" w14:textId="77777777"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5BB84BD0" w14:textId="5F4278B3" w:rsidR="00CA3B7F" w:rsidRPr="00197967"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r w:rsidR="00CA3B7F" w:rsidRPr="00197967" w14:paraId="03D99EC2" w14:textId="77777777" w:rsidTr="00CA3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12BB325" w14:textId="08A7530D" w:rsidR="00CA3B7F" w:rsidRPr="00664438" w:rsidRDefault="00CA3B7F" w:rsidP="00664438">
            <w:pPr>
              <w:pStyle w:val="Style1"/>
              <w:rPr>
                <w:b/>
                <w:bCs/>
              </w:rPr>
            </w:pPr>
            <w:r w:rsidRPr="00664438">
              <w:rPr>
                <w:b/>
                <w:bCs/>
              </w:rPr>
              <w:t>Malware/Ransomware Outbreak</w:t>
            </w:r>
          </w:p>
        </w:tc>
        <w:tc>
          <w:tcPr>
            <w:tcW w:w="6210" w:type="dxa"/>
            <w:gridSpan w:val="2"/>
          </w:tcPr>
          <w:p w14:paraId="5C7DEB8E" w14:textId="77777777"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248455BB" w14:textId="42E4BEF1" w:rsidR="00CA3B7F" w:rsidRPr="00197967" w:rsidRDefault="00CA3B7F" w:rsidP="00664438">
            <w:pPr>
              <w:pStyle w:val="Style1"/>
              <w:cnfStyle w:val="000000100000" w:firstRow="0" w:lastRow="0" w:firstColumn="0" w:lastColumn="0" w:oddVBand="0" w:evenVBand="0" w:oddHBand="1" w:evenHBand="0" w:firstRowFirstColumn="0" w:firstRowLastColumn="0" w:lastRowFirstColumn="0" w:lastRowLastColumn="0"/>
              <w:rPr>
                <w:b w:val="0"/>
                <w:bCs/>
              </w:rPr>
            </w:pPr>
          </w:p>
        </w:tc>
      </w:tr>
      <w:tr w:rsidR="00CA3B7F" w14:paraId="03FFD56B" w14:textId="77777777" w:rsidTr="00CA3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FF4A72B" w14:textId="2E3FDC42" w:rsidR="00CA3B7F" w:rsidRPr="00664438" w:rsidRDefault="00CA3B7F" w:rsidP="00664438">
            <w:pPr>
              <w:pStyle w:val="Style1"/>
              <w:rPr>
                <w:b/>
                <w:bCs/>
              </w:rPr>
            </w:pPr>
            <w:r w:rsidRPr="00664438">
              <w:rPr>
                <w:b/>
                <w:bCs/>
              </w:rPr>
              <w:t>DDoS (distributed Denial of Service) Attack</w:t>
            </w:r>
          </w:p>
        </w:tc>
        <w:tc>
          <w:tcPr>
            <w:tcW w:w="6210" w:type="dxa"/>
            <w:gridSpan w:val="2"/>
          </w:tcPr>
          <w:p w14:paraId="74F8E269" w14:textId="77777777" w:rsidR="00CA3B7F"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r w:rsidRPr="00197967">
              <w:rPr>
                <w:b w:val="0"/>
                <w:bCs/>
              </w:rPr>
              <w:t>Standard Operating Procedures (SOPs) and step-by-step actions for Incident Life Cycle for this type of incident.</w:t>
            </w:r>
          </w:p>
          <w:p w14:paraId="67BE20DE" w14:textId="65C295C7" w:rsidR="00CA3B7F" w:rsidRPr="00057324" w:rsidRDefault="00CA3B7F" w:rsidP="00664438">
            <w:pPr>
              <w:pStyle w:val="Style1"/>
              <w:cnfStyle w:val="000000010000" w:firstRow="0" w:lastRow="0" w:firstColumn="0" w:lastColumn="0" w:oddVBand="0" w:evenVBand="0" w:oddHBand="0" w:evenHBand="1" w:firstRowFirstColumn="0" w:firstRowLastColumn="0" w:lastRowFirstColumn="0" w:lastRowLastColumn="0"/>
              <w:rPr>
                <w:b w:val="0"/>
                <w:bCs/>
              </w:rPr>
            </w:pPr>
          </w:p>
        </w:tc>
      </w:tr>
    </w:tbl>
    <w:p w14:paraId="5F0B672A" w14:textId="77777777" w:rsidR="00F94873" w:rsidRDefault="00F94873" w:rsidP="00F94873"/>
    <w:sectPr w:rsidR="00F94873" w:rsidSect="0029669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7642" w14:textId="77777777" w:rsidR="00EF376A" w:rsidRDefault="00EF376A">
      <w:r>
        <w:separator/>
      </w:r>
    </w:p>
  </w:endnote>
  <w:endnote w:type="continuationSeparator" w:id="0">
    <w:p w14:paraId="5499B2DB" w14:textId="77777777" w:rsidR="00EF376A" w:rsidRDefault="00EF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6C0EF9"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5EBC" w14:textId="1AE4667D" w:rsidR="006C1AEB" w:rsidRPr="006C1AEB" w:rsidRDefault="006C0EF9" w:rsidP="006C1AEB">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2020526935"/>
        <w:docPartObj>
          <w:docPartGallery w:val="Page Numbers (Bottom of Page)"/>
          <w:docPartUnique/>
        </w:docPartObj>
      </w:sdtPr>
      <w:sdtEndPr>
        <w:rPr>
          <w:rFonts w:ascii="Arial" w:hAnsi="Arial" w:cs="Arial"/>
          <w:b w:val="0"/>
          <w:noProof/>
        </w:rPr>
      </w:sdtEndPr>
      <w:sdtContent>
        <w:r w:rsidR="006C1AEB" w:rsidRPr="006C1AEB">
          <w:rPr>
            <w:rFonts w:cs="Arial"/>
          </w:rPr>
          <w:fldChar w:fldCharType="begin"/>
        </w:r>
        <w:r w:rsidR="006C1AEB" w:rsidRPr="006C1AEB">
          <w:rPr>
            <w:rFonts w:cs="Arial"/>
          </w:rPr>
          <w:instrText xml:space="preserve"> PAGE   \* MERGEFORMAT </w:instrText>
        </w:r>
        <w:r w:rsidR="006C1AEB" w:rsidRPr="006C1AEB">
          <w:rPr>
            <w:rFonts w:cs="Arial"/>
          </w:rPr>
          <w:fldChar w:fldCharType="separate"/>
        </w:r>
        <w:r w:rsidR="006C1AEB" w:rsidRPr="006C1AEB">
          <w:rPr>
            <w:rFonts w:ascii="Century Gothic" w:hAnsi="Century Gothic" w:cs="Arial"/>
          </w:rPr>
          <w:t>2</w:t>
        </w:r>
        <w:r w:rsidR="006C1AEB" w:rsidRPr="006C1AEB">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FF3C" w14:textId="77777777" w:rsidR="00EF376A" w:rsidRDefault="00EF376A">
      <w:r>
        <w:separator/>
      </w:r>
    </w:p>
  </w:footnote>
  <w:footnote w:type="continuationSeparator" w:id="0">
    <w:p w14:paraId="2F1FA586" w14:textId="77777777" w:rsidR="00EF376A" w:rsidRDefault="00EF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2DE1654F"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3AF85194" w:rsidR="009F7BD8" w:rsidRPr="00713759" w:rsidRDefault="00C4316C" w:rsidP="009F7BD8">
    <w:pPr>
      <w:pStyle w:val="Header"/>
      <w:pBdr>
        <w:bottom w:val="single" w:sz="18" w:space="1" w:color="auto"/>
      </w:pBdr>
      <w:rPr>
        <w:rFonts w:ascii="Segoe UI Symbol" w:hAnsi="Segoe UI Symbol"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713759" w:rsidRPr="00713759">
      <w:rPr>
        <w:rFonts w:ascii="Segoe UI Symbol" w:hAnsi="Segoe UI Symbol"/>
        <w:sz w:val="22"/>
        <w:szCs w:val="22"/>
      </w:rPr>
      <w:t xml:space="preserve">Incident Response </w:t>
    </w:r>
    <w:r w:rsidR="00C66ABD">
      <w:rPr>
        <w:rFonts w:ascii="Segoe UI Symbol" w:hAnsi="Segoe UI Symbol"/>
        <w:sz w:val="22"/>
        <w:szCs w:val="22"/>
      </w:rPr>
      <w:t>Document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2D5E" w14:textId="228BB3DD" w:rsidR="006C1AEB" w:rsidRPr="006C1AEB" w:rsidRDefault="006C1AEB" w:rsidP="006C1AEB">
    <w:pPr>
      <w:pBdr>
        <w:bottom w:val="single" w:sz="18" w:space="1" w:color="auto"/>
      </w:pBdr>
      <w:tabs>
        <w:tab w:val="center" w:pos="4680"/>
        <w:tab w:val="right" w:pos="9360"/>
      </w:tabs>
      <w:rPr>
        <w:rFonts w:ascii="Segoe UI Symbol" w:hAnsi="Segoe UI Symbol" w:cs="Segoe UI"/>
      </w:rPr>
    </w:pPr>
    <w:r w:rsidRPr="006C1AEB">
      <w:rPr>
        <w:rFonts w:ascii="Segoe UI" w:hAnsi="Segoe UI" w:cs="Segoe UI"/>
        <w:highlight w:val="lightGray"/>
      </w:rPr>
      <w:t>(Name of Organization)</w:t>
    </w:r>
    <w:r w:rsidRPr="006C1AEB">
      <w:rPr>
        <w:rFonts w:ascii="Segoe UI" w:hAnsi="Segoe UI" w:cs="Segoe UI"/>
      </w:rPr>
      <w:t xml:space="preserve"> </w:t>
    </w:r>
    <w:r w:rsidRPr="006C1AEB">
      <w:rPr>
        <w:rFonts w:ascii="Segoe UI Symbol" w:hAnsi="Segoe UI Symbol"/>
        <w:sz w:val="22"/>
        <w:szCs w:val="22"/>
      </w:rPr>
      <w:t>IR</w:t>
    </w:r>
    <w:r w:rsidR="00B6395F">
      <w:rPr>
        <w:rFonts w:ascii="Segoe UI Symbol" w:hAnsi="Segoe UI Symbol"/>
        <w:sz w:val="22"/>
        <w:szCs w:val="22"/>
      </w:rPr>
      <w:t xml:space="preserve"> Documents Overview </w:t>
    </w:r>
  </w:p>
  <w:p w14:paraId="3DCB2178" w14:textId="19019320"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93938"/>
    <w:multiLevelType w:val="hybridMultilevel"/>
    <w:tmpl w:val="ABD2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5"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2"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4"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2"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5" w15:restartNumberingAfterBreak="0">
    <w:nsid w:val="7DD6523C"/>
    <w:multiLevelType w:val="hybridMultilevel"/>
    <w:tmpl w:val="D286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3"/>
  </w:num>
  <w:num w:numId="4">
    <w:abstractNumId w:val="31"/>
  </w:num>
  <w:num w:numId="5">
    <w:abstractNumId w:val="25"/>
  </w:num>
  <w:num w:numId="6">
    <w:abstractNumId w:val="14"/>
  </w:num>
  <w:num w:numId="7">
    <w:abstractNumId w:val="20"/>
  </w:num>
  <w:num w:numId="8">
    <w:abstractNumId w:val="0"/>
  </w:num>
  <w:num w:numId="9">
    <w:abstractNumId w:val="26"/>
  </w:num>
  <w:num w:numId="10">
    <w:abstractNumId w:val="34"/>
  </w:num>
  <w:num w:numId="11">
    <w:abstractNumId w:val="3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num>
  <w:num w:numId="15">
    <w:abstractNumId w:val="2"/>
  </w:num>
  <w:num w:numId="16">
    <w:abstractNumId w:val="12"/>
  </w:num>
  <w:num w:numId="17">
    <w:abstractNumId w:val="27"/>
  </w:num>
  <w:num w:numId="18">
    <w:abstractNumId w:val="17"/>
  </w:num>
  <w:num w:numId="19">
    <w:abstractNumId w:val="8"/>
  </w:num>
  <w:num w:numId="20">
    <w:abstractNumId w:val="4"/>
  </w:num>
  <w:num w:numId="21">
    <w:abstractNumId w:val="5"/>
  </w:num>
  <w:num w:numId="22">
    <w:abstractNumId w:val="19"/>
  </w:num>
  <w:num w:numId="23">
    <w:abstractNumId w:val="22"/>
  </w:num>
  <w:num w:numId="24">
    <w:abstractNumId w:val="28"/>
  </w:num>
  <w:num w:numId="25">
    <w:abstractNumId w:val="15"/>
  </w:num>
  <w:num w:numId="26">
    <w:abstractNumId w:val="13"/>
  </w:num>
  <w:num w:numId="27">
    <w:abstractNumId w:val="32"/>
  </w:num>
  <w:num w:numId="28">
    <w:abstractNumId w:val="33"/>
  </w:num>
  <w:num w:numId="29">
    <w:abstractNumId w:val="16"/>
  </w:num>
  <w:num w:numId="30">
    <w:abstractNumId w:val="6"/>
  </w:num>
  <w:num w:numId="31">
    <w:abstractNumId w:val="7"/>
  </w:num>
  <w:num w:numId="32">
    <w:abstractNumId w:val="1"/>
  </w:num>
  <w:num w:numId="33">
    <w:abstractNumId w:val="9"/>
  </w:num>
  <w:num w:numId="34">
    <w:abstractNumId w:val="18"/>
  </w:num>
  <w:num w:numId="35">
    <w:abstractNumId w:val="35"/>
  </w:num>
  <w:num w:numId="3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899"/>
    <w:rsid w:val="00057324"/>
    <w:rsid w:val="000623F2"/>
    <w:rsid w:val="0007670A"/>
    <w:rsid w:val="000835E6"/>
    <w:rsid w:val="00085921"/>
    <w:rsid w:val="00086721"/>
    <w:rsid w:val="00096BDA"/>
    <w:rsid w:val="000D6B80"/>
    <w:rsid w:val="000E5A4E"/>
    <w:rsid w:val="000F3CA3"/>
    <w:rsid w:val="00100C8D"/>
    <w:rsid w:val="001459CC"/>
    <w:rsid w:val="00151BD4"/>
    <w:rsid w:val="001554CF"/>
    <w:rsid w:val="001601D0"/>
    <w:rsid w:val="00191EB1"/>
    <w:rsid w:val="001948F4"/>
    <w:rsid w:val="001963E8"/>
    <w:rsid w:val="00197967"/>
    <w:rsid w:val="001A74E1"/>
    <w:rsid w:val="001B6F20"/>
    <w:rsid w:val="001C04A2"/>
    <w:rsid w:val="001E3A86"/>
    <w:rsid w:val="001E57BE"/>
    <w:rsid w:val="001F0CC4"/>
    <w:rsid w:val="002022A2"/>
    <w:rsid w:val="00211076"/>
    <w:rsid w:val="0022150B"/>
    <w:rsid w:val="00251708"/>
    <w:rsid w:val="0029669D"/>
    <w:rsid w:val="00297138"/>
    <w:rsid w:val="002B776E"/>
    <w:rsid w:val="002C01BE"/>
    <w:rsid w:val="002C209E"/>
    <w:rsid w:val="002C312A"/>
    <w:rsid w:val="002F4760"/>
    <w:rsid w:val="00307666"/>
    <w:rsid w:val="003142F5"/>
    <w:rsid w:val="003151F7"/>
    <w:rsid w:val="00316807"/>
    <w:rsid w:val="00316846"/>
    <w:rsid w:val="00317AFB"/>
    <w:rsid w:val="0032077F"/>
    <w:rsid w:val="00332650"/>
    <w:rsid w:val="00334C30"/>
    <w:rsid w:val="00335346"/>
    <w:rsid w:val="003516CF"/>
    <w:rsid w:val="00356899"/>
    <w:rsid w:val="00386D5B"/>
    <w:rsid w:val="003B03BF"/>
    <w:rsid w:val="003C0A6A"/>
    <w:rsid w:val="003C1EA7"/>
    <w:rsid w:val="003D2023"/>
    <w:rsid w:val="003E7800"/>
    <w:rsid w:val="003F52B6"/>
    <w:rsid w:val="00427A2F"/>
    <w:rsid w:val="00427BA5"/>
    <w:rsid w:val="00441231"/>
    <w:rsid w:val="00443DAC"/>
    <w:rsid w:val="00471944"/>
    <w:rsid w:val="00473D67"/>
    <w:rsid w:val="004779E6"/>
    <w:rsid w:val="0048059D"/>
    <w:rsid w:val="00492942"/>
    <w:rsid w:val="004956A6"/>
    <w:rsid w:val="004A2984"/>
    <w:rsid w:val="004B17A1"/>
    <w:rsid w:val="004B65DC"/>
    <w:rsid w:val="004B6E0F"/>
    <w:rsid w:val="004C0591"/>
    <w:rsid w:val="004D1FD2"/>
    <w:rsid w:val="004E09E7"/>
    <w:rsid w:val="004E275A"/>
    <w:rsid w:val="004F454D"/>
    <w:rsid w:val="00504BAF"/>
    <w:rsid w:val="00511BAA"/>
    <w:rsid w:val="0052208A"/>
    <w:rsid w:val="00540545"/>
    <w:rsid w:val="00542857"/>
    <w:rsid w:val="00556B67"/>
    <w:rsid w:val="005D43B7"/>
    <w:rsid w:val="005F057C"/>
    <w:rsid w:val="0060726C"/>
    <w:rsid w:val="006303CE"/>
    <w:rsid w:val="0063230E"/>
    <w:rsid w:val="00641258"/>
    <w:rsid w:val="00664438"/>
    <w:rsid w:val="006726C8"/>
    <w:rsid w:val="00673660"/>
    <w:rsid w:val="006A3C3B"/>
    <w:rsid w:val="006A4BBA"/>
    <w:rsid w:val="006A4FF6"/>
    <w:rsid w:val="006C0EF9"/>
    <w:rsid w:val="006C134A"/>
    <w:rsid w:val="006C1AEB"/>
    <w:rsid w:val="006C6841"/>
    <w:rsid w:val="006D6B02"/>
    <w:rsid w:val="00700D91"/>
    <w:rsid w:val="00713759"/>
    <w:rsid w:val="00726BEC"/>
    <w:rsid w:val="00743167"/>
    <w:rsid w:val="00755AF9"/>
    <w:rsid w:val="00765EC6"/>
    <w:rsid w:val="00771521"/>
    <w:rsid w:val="00797341"/>
    <w:rsid w:val="007A63F9"/>
    <w:rsid w:val="007B0C13"/>
    <w:rsid w:val="007B1BCA"/>
    <w:rsid w:val="007C0DCD"/>
    <w:rsid w:val="007C21B6"/>
    <w:rsid w:val="00813522"/>
    <w:rsid w:val="00813816"/>
    <w:rsid w:val="00822BE1"/>
    <w:rsid w:val="00824FBA"/>
    <w:rsid w:val="0082722D"/>
    <w:rsid w:val="00831100"/>
    <w:rsid w:val="00832F9D"/>
    <w:rsid w:val="008330C4"/>
    <w:rsid w:val="00846DAA"/>
    <w:rsid w:val="0089492D"/>
    <w:rsid w:val="008C1953"/>
    <w:rsid w:val="008E289D"/>
    <w:rsid w:val="008E4FCF"/>
    <w:rsid w:val="009258F6"/>
    <w:rsid w:val="009428E3"/>
    <w:rsid w:val="009466C3"/>
    <w:rsid w:val="00947792"/>
    <w:rsid w:val="00947B11"/>
    <w:rsid w:val="009755C2"/>
    <w:rsid w:val="00994A8C"/>
    <w:rsid w:val="009B3CBC"/>
    <w:rsid w:val="009B7A15"/>
    <w:rsid w:val="009E51F2"/>
    <w:rsid w:val="009E554E"/>
    <w:rsid w:val="009F120F"/>
    <w:rsid w:val="009F7BD8"/>
    <w:rsid w:val="00A02B98"/>
    <w:rsid w:val="00A0601E"/>
    <w:rsid w:val="00A06D13"/>
    <w:rsid w:val="00A3364D"/>
    <w:rsid w:val="00A420EC"/>
    <w:rsid w:val="00A779F9"/>
    <w:rsid w:val="00A97A30"/>
    <w:rsid w:val="00AA07CF"/>
    <w:rsid w:val="00AB104A"/>
    <w:rsid w:val="00AB780C"/>
    <w:rsid w:val="00AC7F02"/>
    <w:rsid w:val="00AD2081"/>
    <w:rsid w:val="00AD2646"/>
    <w:rsid w:val="00AE2ECF"/>
    <w:rsid w:val="00AE55AD"/>
    <w:rsid w:val="00B23A8C"/>
    <w:rsid w:val="00B404A8"/>
    <w:rsid w:val="00B530D2"/>
    <w:rsid w:val="00B60D23"/>
    <w:rsid w:val="00B6395F"/>
    <w:rsid w:val="00B9430D"/>
    <w:rsid w:val="00BD1BF9"/>
    <w:rsid w:val="00C22298"/>
    <w:rsid w:val="00C22BF0"/>
    <w:rsid w:val="00C313FD"/>
    <w:rsid w:val="00C4316C"/>
    <w:rsid w:val="00C465F4"/>
    <w:rsid w:val="00C66ABD"/>
    <w:rsid w:val="00C86F18"/>
    <w:rsid w:val="00C9470F"/>
    <w:rsid w:val="00CA1ED5"/>
    <w:rsid w:val="00CA3B7F"/>
    <w:rsid w:val="00CC27A6"/>
    <w:rsid w:val="00CD37A3"/>
    <w:rsid w:val="00CD7C0A"/>
    <w:rsid w:val="00CE0410"/>
    <w:rsid w:val="00CF4F8D"/>
    <w:rsid w:val="00D01DC6"/>
    <w:rsid w:val="00D34BE1"/>
    <w:rsid w:val="00D471B1"/>
    <w:rsid w:val="00D53587"/>
    <w:rsid w:val="00D57CAF"/>
    <w:rsid w:val="00D664C0"/>
    <w:rsid w:val="00D80DB2"/>
    <w:rsid w:val="00D92D8E"/>
    <w:rsid w:val="00DB7C47"/>
    <w:rsid w:val="00DC00A8"/>
    <w:rsid w:val="00DC0117"/>
    <w:rsid w:val="00DC1AB7"/>
    <w:rsid w:val="00DC1E33"/>
    <w:rsid w:val="00DC67B5"/>
    <w:rsid w:val="00DC6817"/>
    <w:rsid w:val="00DF2EEB"/>
    <w:rsid w:val="00E43505"/>
    <w:rsid w:val="00E535B0"/>
    <w:rsid w:val="00E5607E"/>
    <w:rsid w:val="00E71341"/>
    <w:rsid w:val="00ED5410"/>
    <w:rsid w:val="00EE6A82"/>
    <w:rsid w:val="00EF376A"/>
    <w:rsid w:val="00EF419A"/>
    <w:rsid w:val="00EF5633"/>
    <w:rsid w:val="00F15BCC"/>
    <w:rsid w:val="00F25216"/>
    <w:rsid w:val="00F27BD5"/>
    <w:rsid w:val="00F27C47"/>
    <w:rsid w:val="00F41631"/>
    <w:rsid w:val="00F4343D"/>
    <w:rsid w:val="00F56769"/>
    <w:rsid w:val="00F576FE"/>
    <w:rsid w:val="00F71931"/>
    <w:rsid w:val="00F94873"/>
    <w:rsid w:val="00FA62AC"/>
    <w:rsid w:val="00FD0616"/>
    <w:rsid w:val="00FD185F"/>
    <w:rsid w:val="00FE28A3"/>
    <w:rsid w:val="00FF1025"/>
    <w:rsid w:val="00FF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EB"/>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aliases w:val="IR table"/>
    <w:basedOn w:val="TableNormal"/>
    <w:uiPriority w:val="39"/>
    <w:rsid w:val="00DC1AB7"/>
    <w:rPr>
      <w:rFonts w:ascii="Segoe UI Semilight" w:hAnsi="Segoe UI Semilight"/>
      <w:b w:val="0"/>
      <w:kern w:val="0"/>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Semilight" w:hAnsi="Segoe UI Semilight"/>
        <w:b/>
        <w:sz w:val="22"/>
      </w:rPr>
      <w:tblPr/>
      <w:tcPr>
        <w:shd w:val="clear" w:color="auto" w:fill="000000" w:themeFill="text1"/>
      </w:tcPr>
    </w:tblStylePr>
    <w:tblStylePr w:type="firstCol">
      <w:rPr>
        <w:rFonts w:ascii="Segoe UI Semilight" w:hAnsi="Segoe UI Semilight"/>
        <w:b/>
        <w:sz w:val="22"/>
      </w:rPr>
    </w:tblStylePr>
    <w:tblStylePr w:type="band1Horz">
      <w:rPr>
        <w:rFonts w:ascii="Segoe UI Semilight" w:hAnsi="Segoe UI Semilight"/>
        <w:sz w:val="22"/>
      </w:rPr>
      <w:tblPr/>
      <w:tcPr>
        <w:tcBorders>
          <w:top w:val="nil"/>
          <w:left w:val="nil"/>
          <w:bottom w:val="nil"/>
          <w:right w:val="nil"/>
          <w:insideH w:val="nil"/>
          <w:insideV w:val="nil"/>
          <w:tl2br w:val="nil"/>
          <w:tr2bl w:val="nil"/>
        </w:tcBorders>
      </w:tcPr>
    </w:tblStylePr>
    <w:tblStylePr w:type="band2Horz">
      <w:rPr>
        <w:rFonts w:ascii="Segoe UI Semilight" w:hAnsi="Segoe UI Semilight"/>
        <w:sz w:val="22"/>
      </w:rPr>
      <w:tblPr/>
      <w:tcPr>
        <w:tcBorders>
          <w:top w:val="nil"/>
          <w:left w:val="nil"/>
          <w:bottom w:val="nil"/>
          <w:right w:val="nil"/>
          <w:insideH w:val="nil"/>
          <w:insideV w:val="nil"/>
          <w:tl2br w:val="nil"/>
          <w:tr2bl w:val="nil"/>
        </w:tcBorders>
        <w:shd w:val="clear" w:color="auto" w:fill="DEEAF6" w:themeFill="accent5" w:themeFillTint="33"/>
      </w:tcPr>
    </w:tblStyle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character" w:customStyle="1" w:styleId="hgkelc">
    <w:name w:val="hgkelc"/>
    <w:basedOn w:val="DefaultParagraphFont"/>
    <w:rsid w:val="000835E6"/>
  </w:style>
  <w:style w:type="table" w:customStyle="1" w:styleId="IRtableshades">
    <w:name w:val="IR table shades"/>
    <w:basedOn w:val="TableNormal"/>
    <w:uiPriority w:val="99"/>
    <w:rsid w:val="00DC1AB7"/>
    <w:rPr>
      <w:rFonts w:ascii="Segoe UI Semilight" w:hAnsi="Segoe UI Semilight"/>
      <w:b w:val="0"/>
      <w:sz w:val="22"/>
    </w:rPr>
    <w:tblPr>
      <w:tblStyleRowBandSize w:val="1"/>
    </w:tblPr>
    <w:tblStylePr w:type="firstRow">
      <w:rPr>
        <w:rFonts w:ascii="Segoe UI Semilight" w:hAnsi="Segoe UI Semilight"/>
        <w:b/>
        <w:sz w:val="22"/>
      </w:rPr>
      <w:tblPr/>
      <w:tcPr>
        <w:shd w:val="clear" w:color="auto" w:fill="000000" w:themeFill="text1"/>
      </w:tcPr>
    </w:tblStylePr>
    <w:tblStylePr w:type="firstCol">
      <w:rPr>
        <w:rFonts w:ascii="Segoe UI Semilight" w:hAnsi="Segoe UI Semilight"/>
        <w:b/>
        <w:sz w:val="22"/>
      </w:rPr>
    </w:tblStylePr>
    <w:tblStylePr w:type="band2Horz">
      <w:rPr>
        <w:rFonts w:ascii="Segoe UI Semilight" w:hAnsi="Segoe UI Semilight"/>
        <w:sz w:val="22"/>
      </w:rPr>
      <w:tblPr/>
      <w:tcPr>
        <w:shd w:val="clear" w:color="auto" w:fill="DEEAF6" w:themeFill="accent5" w:themeFillTint="33"/>
      </w:tcPr>
    </w:tblStylePr>
  </w:style>
  <w:style w:type="paragraph" w:customStyle="1" w:styleId="Style1">
    <w:name w:val="Style1"/>
    <w:basedOn w:val="Normal"/>
    <w:link w:val="Style1Char"/>
    <w:qFormat/>
    <w:rsid w:val="00664438"/>
    <w:pPr>
      <w:spacing w:before="20" w:after="20"/>
    </w:pPr>
    <w:rPr>
      <w:rFonts w:ascii="Segoe UI Semilight" w:hAnsi="Segoe UI Semilight" w:cs="Segoe UI Semilight"/>
      <w:sz w:val="22"/>
      <w:szCs w:val="22"/>
    </w:rPr>
  </w:style>
  <w:style w:type="character" w:customStyle="1" w:styleId="Style1Char">
    <w:name w:val="Style1 Char"/>
    <w:basedOn w:val="DefaultParagraphFont"/>
    <w:link w:val="Style1"/>
    <w:rsid w:val="00664438"/>
    <w:rPr>
      <w:rFonts w:ascii="Segoe UI Semilight" w:hAnsi="Segoe UI Semilight" w:cs="Segoe UI Semilight"/>
      <w:b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4336">
      <w:bodyDiv w:val="1"/>
      <w:marLeft w:val="0"/>
      <w:marRight w:val="0"/>
      <w:marTop w:val="0"/>
      <w:marBottom w:val="0"/>
      <w:divBdr>
        <w:top w:val="none" w:sz="0" w:space="0" w:color="auto"/>
        <w:left w:val="none" w:sz="0" w:space="0" w:color="auto"/>
        <w:bottom w:val="none" w:sz="0" w:space="0" w:color="auto"/>
        <w:right w:val="none" w:sz="0" w:space="0" w:color="auto"/>
      </w:divBdr>
      <w:divsChild>
        <w:div w:id="827019156">
          <w:marLeft w:val="0"/>
          <w:marRight w:val="0"/>
          <w:marTop w:val="0"/>
          <w:marBottom w:val="0"/>
          <w:divBdr>
            <w:top w:val="none" w:sz="0" w:space="0" w:color="auto"/>
            <w:left w:val="none" w:sz="0" w:space="0" w:color="auto"/>
            <w:bottom w:val="none" w:sz="0" w:space="0" w:color="auto"/>
            <w:right w:val="none" w:sz="0" w:space="0" w:color="auto"/>
          </w:divBdr>
          <w:divsChild>
            <w:div w:id="536745940">
              <w:marLeft w:val="0"/>
              <w:marRight w:val="0"/>
              <w:marTop w:val="0"/>
              <w:marBottom w:val="0"/>
              <w:divBdr>
                <w:top w:val="none" w:sz="0" w:space="0" w:color="auto"/>
                <w:left w:val="none" w:sz="0" w:space="0" w:color="auto"/>
                <w:bottom w:val="none" w:sz="0" w:space="0" w:color="auto"/>
                <w:right w:val="none" w:sz="0" w:space="0" w:color="auto"/>
              </w:divBdr>
              <w:divsChild>
                <w:div w:id="7152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1915">
      <w:bodyDiv w:val="1"/>
      <w:marLeft w:val="0"/>
      <w:marRight w:val="0"/>
      <w:marTop w:val="0"/>
      <w:marBottom w:val="0"/>
      <w:divBdr>
        <w:top w:val="none" w:sz="0" w:space="0" w:color="auto"/>
        <w:left w:val="none" w:sz="0" w:space="0" w:color="auto"/>
        <w:bottom w:val="none" w:sz="0" w:space="0" w:color="auto"/>
        <w:right w:val="none" w:sz="0" w:space="0" w:color="auto"/>
      </w:divBdr>
    </w:div>
    <w:div w:id="764498524">
      <w:bodyDiv w:val="1"/>
      <w:marLeft w:val="0"/>
      <w:marRight w:val="0"/>
      <w:marTop w:val="0"/>
      <w:marBottom w:val="0"/>
      <w:divBdr>
        <w:top w:val="none" w:sz="0" w:space="0" w:color="auto"/>
        <w:left w:val="none" w:sz="0" w:space="0" w:color="auto"/>
        <w:bottom w:val="none" w:sz="0" w:space="0" w:color="auto"/>
        <w:right w:val="none" w:sz="0" w:space="0" w:color="auto"/>
      </w:divBdr>
      <w:divsChild>
        <w:div w:id="1648196674">
          <w:marLeft w:val="0"/>
          <w:marRight w:val="0"/>
          <w:marTop w:val="0"/>
          <w:marBottom w:val="0"/>
          <w:divBdr>
            <w:top w:val="none" w:sz="0" w:space="0" w:color="auto"/>
            <w:left w:val="none" w:sz="0" w:space="0" w:color="auto"/>
            <w:bottom w:val="none" w:sz="0" w:space="0" w:color="auto"/>
            <w:right w:val="none" w:sz="0" w:space="0" w:color="auto"/>
          </w:divBdr>
          <w:divsChild>
            <w:div w:id="771707168">
              <w:marLeft w:val="0"/>
              <w:marRight w:val="0"/>
              <w:marTop w:val="0"/>
              <w:marBottom w:val="0"/>
              <w:divBdr>
                <w:top w:val="none" w:sz="0" w:space="0" w:color="auto"/>
                <w:left w:val="none" w:sz="0" w:space="0" w:color="auto"/>
                <w:bottom w:val="none" w:sz="0" w:space="0" w:color="auto"/>
                <w:right w:val="none" w:sz="0" w:space="0" w:color="auto"/>
              </w:divBdr>
              <w:divsChild>
                <w:div w:id="450638279">
                  <w:marLeft w:val="0"/>
                  <w:marRight w:val="0"/>
                  <w:marTop w:val="0"/>
                  <w:marBottom w:val="0"/>
                  <w:divBdr>
                    <w:top w:val="none" w:sz="0" w:space="0" w:color="auto"/>
                    <w:left w:val="none" w:sz="0" w:space="0" w:color="auto"/>
                    <w:bottom w:val="none" w:sz="0" w:space="0" w:color="auto"/>
                    <w:right w:val="none" w:sz="0" w:space="0" w:color="auto"/>
                  </w:divBdr>
                  <w:divsChild>
                    <w:div w:id="921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274905">
      <w:bodyDiv w:val="1"/>
      <w:marLeft w:val="0"/>
      <w:marRight w:val="0"/>
      <w:marTop w:val="0"/>
      <w:marBottom w:val="0"/>
      <w:divBdr>
        <w:top w:val="none" w:sz="0" w:space="0" w:color="auto"/>
        <w:left w:val="none" w:sz="0" w:space="0" w:color="auto"/>
        <w:bottom w:val="none" w:sz="0" w:space="0" w:color="auto"/>
        <w:right w:val="none" w:sz="0" w:space="0" w:color="auto"/>
      </w:divBdr>
    </w:div>
    <w:div w:id="988745688">
      <w:bodyDiv w:val="1"/>
      <w:marLeft w:val="0"/>
      <w:marRight w:val="0"/>
      <w:marTop w:val="0"/>
      <w:marBottom w:val="0"/>
      <w:divBdr>
        <w:top w:val="none" w:sz="0" w:space="0" w:color="auto"/>
        <w:left w:val="none" w:sz="0" w:space="0" w:color="auto"/>
        <w:bottom w:val="none" w:sz="0" w:space="0" w:color="auto"/>
        <w:right w:val="none" w:sz="0" w:space="0" w:color="auto"/>
      </w:divBdr>
      <w:divsChild>
        <w:div w:id="818808714">
          <w:marLeft w:val="0"/>
          <w:marRight w:val="0"/>
          <w:marTop w:val="0"/>
          <w:marBottom w:val="0"/>
          <w:divBdr>
            <w:top w:val="none" w:sz="0" w:space="0" w:color="auto"/>
            <w:left w:val="none" w:sz="0" w:space="0" w:color="auto"/>
            <w:bottom w:val="none" w:sz="0" w:space="0" w:color="auto"/>
            <w:right w:val="none" w:sz="0" w:space="0" w:color="auto"/>
          </w:divBdr>
          <w:divsChild>
            <w:div w:id="1414932741">
              <w:marLeft w:val="0"/>
              <w:marRight w:val="0"/>
              <w:marTop w:val="0"/>
              <w:marBottom w:val="0"/>
              <w:divBdr>
                <w:top w:val="none" w:sz="0" w:space="0" w:color="auto"/>
                <w:left w:val="none" w:sz="0" w:space="0" w:color="auto"/>
                <w:bottom w:val="none" w:sz="0" w:space="0" w:color="auto"/>
                <w:right w:val="none" w:sz="0" w:space="0" w:color="auto"/>
              </w:divBdr>
              <w:divsChild>
                <w:div w:id="4431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08709">
      <w:bodyDiv w:val="1"/>
      <w:marLeft w:val="0"/>
      <w:marRight w:val="0"/>
      <w:marTop w:val="0"/>
      <w:marBottom w:val="0"/>
      <w:divBdr>
        <w:top w:val="none" w:sz="0" w:space="0" w:color="auto"/>
        <w:left w:val="none" w:sz="0" w:space="0" w:color="auto"/>
        <w:bottom w:val="none" w:sz="0" w:space="0" w:color="auto"/>
        <w:right w:val="none" w:sz="0" w:space="0" w:color="auto"/>
      </w:divBdr>
      <w:divsChild>
        <w:div w:id="2135441641">
          <w:marLeft w:val="0"/>
          <w:marRight w:val="0"/>
          <w:marTop w:val="0"/>
          <w:marBottom w:val="0"/>
          <w:divBdr>
            <w:top w:val="none" w:sz="0" w:space="0" w:color="auto"/>
            <w:left w:val="none" w:sz="0" w:space="0" w:color="auto"/>
            <w:bottom w:val="none" w:sz="0" w:space="0" w:color="auto"/>
            <w:right w:val="none" w:sz="0" w:space="0" w:color="auto"/>
          </w:divBdr>
          <w:divsChild>
            <w:div w:id="2132244969">
              <w:marLeft w:val="0"/>
              <w:marRight w:val="0"/>
              <w:marTop w:val="0"/>
              <w:marBottom w:val="0"/>
              <w:divBdr>
                <w:top w:val="none" w:sz="0" w:space="0" w:color="auto"/>
                <w:left w:val="none" w:sz="0" w:space="0" w:color="auto"/>
                <w:bottom w:val="none" w:sz="0" w:space="0" w:color="auto"/>
                <w:right w:val="none" w:sz="0" w:space="0" w:color="auto"/>
              </w:divBdr>
              <w:divsChild>
                <w:div w:id="2139638712">
                  <w:marLeft w:val="0"/>
                  <w:marRight w:val="0"/>
                  <w:marTop w:val="0"/>
                  <w:marBottom w:val="0"/>
                  <w:divBdr>
                    <w:top w:val="none" w:sz="0" w:space="0" w:color="auto"/>
                    <w:left w:val="none" w:sz="0" w:space="0" w:color="auto"/>
                    <w:bottom w:val="none" w:sz="0" w:space="0" w:color="auto"/>
                    <w:right w:val="none" w:sz="0" w:space="0" w:color="auto"/>
                  </w:divBdr>
                  <w:divsChild>
                    <w:div w:id="9758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8047">
      <w:bodyDiv w:val="1"/>
      <w:marLeft w:val="0"/>
      <w:marRight w:val="0"/>
      <w:marTop w:val="0"/>
      <w:marBottom w:val="0"/>
      <w:divBdr>
        <w:top w:val="none" w:sz="0" w:space="0" w:color="auto"/>
        <w:left w:val="none" w:sz="0" w:space="0" w:color="auto"/>
        <w:bottom w:val="none" w:sz="0" w:space="0" w:color="auto"/>
        <w:right w:val="none" w:sz="0" w:space="0" w:color="auto"/>
      </w:divBdr>
    </w:div>
    <w:div w:id="1309091864">
      <w:bodyDiv w:val="1"/>
      <w:marLeft w:val="0"/>
      <w:marRight w:val="0"/>
      <w:marTop w:val="0"/>
      <w:marBottom w:val="0"/>
      <w:divBdr>
        <w:top w:val="none" w:sz="0" w:space="0" w:color="auto"/>
        <w:left w:val="none" w:sz="0" w:space="0" w:color="auto"/>
        <w:bottom w:val="none" w:sz="0" w:space="0" w:color="auto"/>
        <w:right w:val="none" w:sz="0" w:space="0" w:color="auto"/>
      </w:divBdr>
      <w:divsChild>
        <w:div w:id="997001162">
          <w:marLeft w:val="0"/>
          <w:marRight w:val="0"/>
          <w:marTop w:val="0"/>
          <w:marBottom w:val="0"/>
          <w:divBdr>
            <w:top w:val="none" w:sz="0" w:space="0" w:color="auto"/>
            <w:left w:val="none" w:sz="0" w:space="0" w:color="auto"/>
            <w:bottom w:val="none" w:sz="0" w:space="0" w:color="auto"/>
            <w:right w:val="none" w:sz="0" w:space="0" w:color="auto"/>
          </w:divBdr>
          <w:divsChild>
            <w:div w:id="795173313">
              <w:marLeft w:val="0"/>
              <w:marRight w:val="0"/>
              <w:marTop w:val="0"/>
              <w:marBottom w:val="0"/>
              <w:divBdr>
                <w:top w:val="none" w:sz="0" w:space="0" w:color="auto"/>
                <w:left w:val="none" w:sz="0" w:space="0" w:color="auto"/>
                <w:bottom w:val="none" w:sz="0" w:space="0" w:color="auto"/>
                <w:right w:val="none" w:sz="0" w:space="0" w:color="auto"/>
              </w:divBdr>
              <w:divsChild>
                <w:div w:id="1373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0339">
      <w:bodyDiv w:val="1"/>
      <w:marLeft w:val="0"/>
      <w:marRight w:val="0"/>
      <w:marTop w:val="0"/>
      <w:marBottom w:val="0"/>
      <w:divBdr>
        <w:top w:val="none" w:sz="0" w:space="0" w:color="auto"/>
        <w:left w:val="none" w:sz="0" w:space="0" w:color="auto"/>
        <w:bottom w:val="none" w:sz="0" w:space="0" w:color="auto"/>
        <w:right w:val="none" w:sz="0" w:space="0" w:color="auto"/>
      </w:divBdr>
      <w:divsChild>
        <w:div w:id="2011980329">
          <w:marLeft w:val="0"/>
          <w:marRight w:val="0"/>
          <w:marTop w:val="0"/>
          <w:marBottom w:val="0"/>
          <w:divBdr>
            <w:top w:val="none" w:sz="0" w:space="0" w:color="auto"/>
            <w:left w:val="none" w:sz="0" w:space="0" w:color="auto"/>
            <w:bottom w:val="none" w:sz="0" w:space="0" w:color="auto"/>
            <w:right w:val="none" w:sz="0" w:space="0" w:color="auto"/>
          </w:divBdr>
          <w:divsChild>
            <w:div w:id="1142188286">
              <w:marLeft w:val="0"/>
              <w:marRight w:val="0"/>
              <w:marTop w:val="0"/>
              <w:marBottom w:val="0"/>
              <w:divBdr>
                <w:top w:val="none" w:sz="0" w:space="0" w:color="auto"/>
                <w:left w:val="none" w:sz="0" w:space="0" w:color="auto"/>
                <w:bottom w:val="none" w:sz="0" w:space="0" w:color="auto"/>
                <w:right w:val="none" w:sz="0" w:space="0" w:color="auto"/>
              </w:divBdr>
              <w:divsChild>
                <w:div w:id="1890989478">
                  <w:marLeft w:val="0"/>
                  <w:marRight w:val="0"/>
                  <w:marTop w:val="0"/>
                  <w:marBottom w:val="0"/>
                  <w:divBdr>
                    <w:top w:val="none" w:sz="0" w:space="0" w:color="auto"/>
                    <w:left w:val="none" w:sz="0" w:space="0" w:color="auto"/>
                    <w:bottom w:val="none" w:sz="0" w:space="0" w:color="auto"/>
                    <w:right w:val="none" w:sz="0" w:space="0" w:color="auto"/>
                  </w:divBdr>
                  <w:divsChild>
                    <w:div w:id="1864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6043">
      <w:bodyDiv w:val="1"/>
      <w:marLeft w:val="0"/>
      <w:marRight w:val="0"/>
      <w:marTop w:val="0"/>
      <w:marBottom w:val="0"/>
      <w:divBdr>
        <w:top w:val="none" w:sz="0" w:space="0" w:color="auto"/>
        <w:left w:val="none" w:sz="0" w:space="0" w:color="auto"/>
        <w:bottom w:val="none" w:sz="0" w:space="0" w:color="auto"/>
        <w:right w:val="none" w:sz="0" w:space="0" w:color="auto"/>
      </w:divBdr>
      <w:divsChild>
        <w:div w:id="580455507">
          <w:marLeft w:val="0"/>
          <w:marRight w:val="0"/>
          <w:marTop w:val="0"/>
          <w:marBottom w:val="0"/>
          <w:divBdr>
            <w:top w:val="none" w:sz="0" w:space="0" w:color="auto"/>
            <w:left w:val="none" w:sz="0" w:space="0" w:color="auto"/>
            <w:bottom w:val="none" w:sz="0" w:space="0" w:color="auto"/>
            <w:right w:val="none" w:sz="0" w:space="0" w:color="auto"/>
          </w:divBdr>
          <w:divsChild>
            <w:div w:id="820972802">
              <w:marLeft w:val="0"/>
              <w:marRight w:val="0"/>
              <w:marTop w:val="0"/>
              <w:marBottom w:val="0"/>
              <w:divBdr>
                <w:top w:val="none" w:sz="0" w:space="0" w:color="auto"/>
                <w:left w:val="none" w:sz="0" w:space="0" w:color="auto"/>
                <w:bottom w:val="none" w:sz="0" w:space="0" w:color="auto"/>
                <w:right w:val="none" w:sz="0" w:space="0" w:color="auto"/>
              </w:divBdr>
              <w:divsChild>
                <w:div w:id="1889293186">
                  <w:marLeft w:val="0"/>
                  <w:marRight w:val="0"/>
                  <w:marTop w:val="0"/>
                  <w:marBottom w:val="0"/>
                  <w:divBdr>
                    <w:top w:val="none" w:sz="0" w:space="0" w:color="auto"/>
                    <w:left w:val="none" w:sz="0" w:space="0" w:color="auto"/>
                    <w:bottom w:val="none" w:sz="0" w:space="0" w:color="auto"/>
                    <w:right w:val="none" w:sz="0" w:space="0" w:color="auto"/>
                  </w:divBdr>
                  <w:divsChild>
                    <w:div w:id="11320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31199">
      <w:bodyDiv w:val="1"/>
      <w:marLeft w:val="0"/>
      <w:marRight w:val="0"/>
      <w:marTop w:val="0"/>
      <w:marBottom w:val="0"/>
      <w:divBdr>
        <w:top w:val="none" w:sz="0" w:space="0" w:color="auto"/>
        <w:left w:val="none" w:sz="0" w:space="0" w:color="auto"/>
        <w:bottom w:val="none" w:sz="0" w:space="0" w:color="auto"/>
        <w:right w:val="none" w:sz="0" w:space="0" w:color="auto"/>
      </w:divBdr>
      <w:divsChild>
        <w:div w:id="479925819">
          <w:marLeft w:val="0"/>
          <w:marRight w:val="0"/>
          <w:marTop w:val="0"/>
          <w:marBottom w:val="0"/>
          <w:divBdr>
            <w:top w:val="none" w:sz="0" w:space="0" w:color="auto"/>
            <w:left w:val="none" w:sz="0" w:space="0" w:color="auto"/>
            <w:bottom w:val="none" w:sz="0" w:space="0" w:color="auto"/>
            <w:right w:val="none" w:sz="0" w:space="0" w:color="auto"/>
          </w:divBdr>
          <w:divsChild>
            <w:div w:id="1183517843">
              <w:marLeft w:val="0"/>
              <w:marRight w:val="0"/>
              <w:marTop w:val="0"/>
              <w:marBottom w:val="0"/>
              <w:divBdr>
                <w:top w:val="none" w:sz="0" w:space="0" w:color="auto"/>
                <w:left w:val="none" w:sz="0" w:space="0" w:color="auto"/>
                <w:bottom w:val="none" w:sz="0" w:space="0" w:color="auto"/>
                <w:right w:val="none" w:sz="0" w:space="0" w:color="auto"/>
              </w:divBdr>
              <w:divsChild>
                <w:div w:id="1136332416">
                  <w:marLeft w:val="0"/>
                  <w:marRight w:val="0"/>
                  <w:marTop w:val="0"/>
                  <w:marBottom w:val="0"/>
                  <w:divBdr>
                    <w:top w:val="none" w:sz="0" w:space="0" w:color="auto"/>
                    <w:left w:val="none" w:sz="0" w:space="0" w:color="auto"/>
                    <w:bottom w:val="none" w:sz="0" w:space="0" w:color="auto"/>
                    <w:right w:val="none" w:sz="0" w:space="0" w:color="auto"/>
                  </w:divBdr>
                </w:div>
              </w:divsChild>
            </w:div>
            <w:div w:id="783353435">
              <w:marLeft w:val="0"/>
              <w:marRight w:val="0"/>
              <w:marTop w:val="0"/>
              <w:marBottom w:val="0"/>
              <w:divBdr>
                <w:top w:val="none" w:sz="0" w:space="0" w:color="auto"/>
                <w:left w:val="none" w:sz="0" w:space="0" w:color="auto"/>
                <w:bottom w:val="none" w:sz="0" w:space="0" w:color="auto"/>
                <w:right w:val="none" w:sz="0" w:space="0" w:color="auto"/>
              </w:divBdr>
              <w:divsChild>
                <w:div w:id="1844197157">
                  <w:marLeft w:val="0"/>
                  <w:marRight w:val="0"/>
                  <w:marTop w:val="0"/>
                  <w:marBottom w:val="0"/>
                  <w:divBdr>
                    <w:top w:val="none" w:sz="0" w:space="0" w:color="auto"/>
                    <w:left w:val="none" w:sz="0" w:space="0" w:color="auto"/>
                    <w:bottom w:val="none" w:sz="0" w:space="0" w:color="auto"/>
                    <w:right w:val="none" w:sz="0" w:space="0" w:color="auto"/>
                  </w:divBdr>
                </w:div>
              </w:divsChild>
            </w:div>
            <w:div w:id="855658025">
              <w:marLeft w:val="0"/>
              <w:marRight w:val="0"/>
              <w:marTop w:val="0"/>
              <w:marBottom w:val="0"/>
              <w:divBdr>
                <w:top w:val="none" w:sz="0" w:space="0" w:color="auto"/>
                <w:left w:val="none" w:sz="0" w:space="0" w:color="auto"/>
                <w:bottom w:val="none" w:sz="0" w:space="0" w:color="auto"/>
                <w:right w:val="none" w:sz="0" w:space="0" w:color="auto"/>
              </w:divBdr>
              <w:divsChild>
                <w:div w:id="1723629234">
                  <w:marLeft w:val="0"/>
                  <w:marRight w:val="0"/>
                  <w:marTop w:val="0"/>
                  <w:marBottom w:val="0"/>
                  <w:divBdr>
                    <w:top w:val="none" w:sz="0" w:space="0" w:color="auto"/>
                    <w:left w:val="none" w:sz="0" w:space="0" w:color="auto"/>
                    <w:bottom w:val="none" w:sz="0" w:space="0" w:color="auto"/>
                    <w:right w:val="none" w:sz="0" w:space="0" w:color="auto"/>
                  </w:divBdr>
                </w:div>
              </w:divsChild>
            </w:div>
            <w:div w:id="1753962542">
              <w:marLeft w:val="0"/>
              <w:marRight w:val="0"/>
              <w:marTop w:val="0"/>
              <w:marBottom w:val="0"/>
              <w:divBdr>
                <w:top w:val="none" w:sz="0" w:space="0" w:color="auto"/>
                <w:left w:val="none" w:sz="0" w:space="0" w:color="auto"/>
                <w:bottom w:val="none" w:sz="0" w:space="0" w:color="auto"/>
                <w:right w:val="none" w:sz="0" w:space="0" w:color="auto"/>
              </w:divBdr>
              <w:divsChild>
                <w:div w:id="370309221">
                  <w:marLeft w:val="0"/>
                  <w:marRight w:val="0"/>
                  <w:marTop w:val="0"/>
                  <w:marBottom w:val="0"/>
                  <w:divBdr>
                    <w:top w:val="none" w:sz="0" w:space="0" w:color="auto"/>
                    <w:left w:val="none" w:sz="0" w:space="0" w:color="auto"/>
                    <w:bottom w:val="none" w:sz="0" w:space="0" w:color="auto"/>
                    <w:right w:val="none" w:sz="0" w:space="0" w:color="auto"/>
                  </w:divBdr>
                </w:div>
              </w:divsChild>
            </w:div>
            <w:div w:id="1198735492">
              <w:marLeft w:val="0"/>
              <w:marRight w:val="0"/>
              <w:marTop w:val="0"/>
              <w:marBottom w:val="0"/>
              <w:divBdr>
                <w:top w:val="none" w:sz="0" w:space="0" w:color="auto"/>
                <w:left w:val="none" w:sz="0" w:space="0" w:color="auto"/>
                <w:bottom w:val="none" w:sz="0" w:space="0" w:color="auto"/>
                <w:right w:val="none" w:sz="0" w:space="0" w:color="auto"/>
              </w:divBdr>
              <w:divsChild>
                <w:div w:id="1252393248">
                  <w:marLeft w:val="0"/>
                  <w:marRight w:val="0"/>
                  <w:marTop w:val="0"/>
                  <w:marBottom w:val="0"/>
                  <w:divBdr>
                    <w:top w:val="none" w:sz="0" w:space="0" w:color="auto"/>
                    <w:left w:val="none" w:sz="0" w:space="0" w:color="auto"/>
                    <w:bottom w:val="none" w:sz="0" w:space="0" w:color="auto"/>
                    <w:right w:val="none" w:sz="0" w:space="0" w:color="auto"/>
                  </w:divBdr>
                </w:div>
                <w:div w:id="962272964">
                  <w:marLeft w:val="0"/>
                  <w:marRight w:val="0"/>
                  <w:marTop w:val="0"/>
                  <w:marBottom w:val="0"/>
                  <w:divBdr>
                    <w:top w:val="none" w:sz="0" w:space="0" w:color="auto"/>
                    <w:left w:val="none" w:sz="0" w:space="0" w:color="auto"/>
                    <w:bottom w:val="none" w:sz="0" w:space="0" w:color="auto"/>
                    <w:right w:val="none" w:sz="0" w:space="0" w:color="auto"/>
                  </w:divBdr>
                </w:div>
              </w:divsChild>
            </w:div>
            <w:div w:id="45568190">
              <w:marLeft w:val="0"/>
              <w:marRight w:val="0"/>
              <w:marTop w:val="0"/>
              <w:marBottom w:val="0"/>
              <w:divBdr>
                <w:top w:val="none" w:sz="0" w:space="0" w:color="auto"/>
                <w:left w:val="none" w:sz="0" w:space="0" w:color="auto"/>
                <w:bottom w:val="none" w:sz="0" w:space="0" w:color="auto"/>
                <w:right w:val="none" w:sz="0" w:space="0" w:color="auto"/>
              </w:divBdr>
              <w:divsChild>
                <w:div w:id="299268621">
                  <w:marLeft w:val="0"/>
                  <w:marRight w:val="0"/>
                  <w:marTop w:val="0"/>
                  <w:marBottom w:val="0"/>
                  <w:divBdr>
                    <w:top w:val="none" w:sz="0" w:space="0" w:color="auto"/>
                    <w:left w:val="none" w:sz="0" w:space="0" w:color="auto"/>
                    <w:bottom w:val="none" w:sz="0" w:space="0" w:color="auto"/>
                    <w:right w:val="none" w:sz="0" w:space="0" w:color="auto"/>
                  </w:divBdr>
                </w:div>
              </w:divsChild>
            </w:div>
            <w:div w:id="1145971850">
              <w:marLeft w:val="0"/>
              <w:marRight w:val="0"/>
              <w:marTop w:val="0"/>
              <w:marBottom w:val="0"/>
              <w:divBdr>
                <w:top w:val="none" w:sz="0" w:space="0" w:color="auto"/>
                <w:left w:val="none" w:sz="0" w:space="0" w:color="auto"/>
                <w:bottom w:val="none" w:sz="0" w:space="0" w:color="auto"/>
                <w:right w:val="none" w:sz="0" w:space="0" w:color="auto"/>
              </w:divBdr>
              <w:divsChild>
                <w:div w:id="380442310">
                  <w:marLeft w:val="0"/>
                  <w:marRight w:val="0"/>
                  <w:marTop w:val="0"/>
                  <w:marBottom w:val="0"/>
                  <w:divBdr>
                    <w:top w:val="none" w:sz="0" w:space="0" w:color="auto"/>
                    <w:left w:val="none" w:sz="0" w:space="0" w:color="auto"/>
                    <w:bottom w:val="none" w:sz="0" w:space="0" w:color="auto"/>
                    <w:right w:val="none" w:sz="0" w:space="0" w:color="auto"/>
                  </w:divBdr>
                </w:div>
              </w:divsChild>
            </w:div>
            <w:div w:id="287708913">
              <w:marLeft w:val="0"/>
              <w:marRight w:val="0"/>
              <w:marTop w:val="0"/>
              <w:marBottom w:val="0"/>
              <w:divBdr>
                <w:top w:val="none" w:sz="0" w:space="0" w:color="auto"/>
                <w:left w:val="none" w:sz="0" w:space="0" w:color="auto"/>
                <w:bottom w:val="none" w:sz="0" w:space="0" w:color="auto"/>
                <w:right w:val="none" w:sz="0" w:space="0" w:color="auto"/>
              </w:divBdr>
              <w:divsChild>
                <w:div w:id="331490694">
                  <w:marLeft w:val="0"/>
                  <w:marRight w:val="0"/>
                  <w:marTop w:val="0"/>
                  <w:marBottom w:val="0"/>
                  <w:divBdr>
                    <w:top w:val="none" w:sz="0" w:space="0" w:color="auto"/>
                    <w:left w:val="none" w:sz="0" w:space="0" w:color="auto"/>
                    <w:bottom w:val="none" w:sz="0" w:space="0" w:color="auto"/>
                    <w:right w:val="none" w:sz="0" w:space="0" w:color="auto"/>
                  </w:divBdr>
                </w:div>
              </w:divsChild>
            </w:div>
            <w:div w:id="918173027">
              <w:marLeft w:val="0"/>
              <w:marRight w:val="0"/>
              <w:marTop w:val="0"/>
              <w:marBottom w:val="0"/>
              <w:divBdr>
                <w:top w:val="none" w:sz="0" w:space="0" w:color="auto"/>
                <w:left w:val="none" w:sz="0" w:space="0" w:color="auto"/>
                <w:bottom w:val="none" w:sz="0" w:space="0" w:color="auto"/>
                <w:right w:val="none" w:sz="0" w:space="0" w:color="auto"/>
              </w:divBdr>
              <w:divsChild>
                <w:div w:id="1028406471">
                  <w:marLeft w:val="0"/>
                  <w:marRight w:val="0"/>
                  <w:marTop w:val="0"/>
                  <w:marBottom w:val="0"/>
                  <w:divBdr>
                    <w:top w:val="none" w:sz="0" w:space="0" w:color="auto"/>
                    <w:left w:val="none" w:sz="0" w:space="0" w:color="auto"/>
                    <w:bottom w:val="none" w:sz="0" w:space="0" w:color="auto"/>
                    <w:right w:val="none" w:sz="0" w:space="0" w:color="auto"/>
                  </w:divBdr>
                </w:div>
              </w:divsChild>
            </w:div>
            <w:div w:id="679428495">
              <w:marLeft w:val="0"/>
              <w:marRight w:val="0"/>
              <w:marTop w:val="0"/>
              <w:marBottom w:val="0"/>
              <w:divBdr>
                <w:top w:val="none" w:sz="0" w:space="0" w:color="auto"/>
                <w:left w:val="none" w:sz="0" w:space="0" w:color="auto"/>
                <w:bottom w:val="none" w:sz="0" w:space="0" w:color="auto"/>
                <w:right w:val="none" w:sz="0" w:space="0" w:color="auto"/>
              </w:divBdr>
              <w:divsChild>
                <w:div w:id="289095582">
                  <w:marLeft w:val="0"/>
                  <w:marRight w:val="0"/>
                  <w:marTop w:val="0"/>
                  <w:marBottom w:val="0"/>
                  <w:divBdr>
                    <w:top w:val="none" w:sz="0" w:space="0" w:color="auto"/>
                    <w:left w:val="none" w:sz="0" w:space="0" w:color="auto"/>
                    <w:bottom w:val="none" w:sz="0" w:space="0" w:color="auto"/>
                    <w:right w:val="none" w:sz="0" w:space="0" w:color="auto"/>
                  </w:divBdr>
                </w:div>
              </w:divsChild>
            </w:div>
            <w:div w:id="1360009251">
              <w:marLeft w:val="0"/>
              <w:marRight w:val="0"/>
              <w:marTop w:val="0"/>
              <w:marBottom w:val="0"/>
              <w:divBdr>
                <w:top w:val="none" w:sz="0" w:space="0" w:color="auto"/>
                <w:left w:val="none" w:sz="0" w:space="0" w:color="auto"/>
                <w:bottom w:val="none" w:sz="0" w:space="0" w:color="auto"/>
                <w:right w:val="none" w:sz="0" w:space="0" w:color="auto"/>
              </w:divBdr>
              <w:divsChild>
                <w:div w:id="932781407">
                  <w:marLeft w:val="0"/>
                  <w:marRight w:val="0"/>
                  <w:marTop w:val="0"/>
                  <w:marBottom w:val="0"/>
                  <w:divBdr>
                    <w:top w:val="none" w:sz="0" w:space="0" w:color="auto"/>
                    <w:left w:val="none" w:sz="0" w:space="0" w:color="auto"/>
                    <w:bottom w:val="none" w:sz="0" w:space="0" w:color="auto"/>
                    <w:right w:val="none" w:sz="0" w:space="0" w:color="auto"/>
                  </w:divBdr>
                </w:div>
              </w:divsChild>
            </w:div>
            <w:div w:id="457724411">
              <w:marLeft w:val="0"/>
              <w:marRight w:val="0"/>
              <w:marTop w:val="0"/>
              <w:marBottom w:val="0"/>
              <w:divBdr>
                <w:top w:val="none" w:sz="0" w:space="0" w:color="auto"/>
                <w:left w:val="none" w:sz="0" w:space="0" w:color="auto"/>
                <w:bottom w:val="none" w:sz="0" w:space="0" w:color="auto"/>
                <w:right w:val="none" w:sz="0" w:space="0" w:color="auto"/>
              </w:divBdr>
              <w:divsChild>
                <w:div w:id="1597055269">
                  <w:marLeft w:val="0"/>
                  <w:marRight w:val="0"/>
                  <w:marTop w:val="0"/>
                  <w:marBottom w:val="0"/>
                  <w:divBdr>
                    <w:top w:val="none" w:sz="0" w:space="0" w:color="auto"/>
                    <w:left w:val="none" w:sz="0" w:space="0" w:color="auto"/>
                    <w:bottom w:val="none" w:sz="0" w:space="0" w:color="auto"/>
                    <w:right w:val="none" w:sz="0" w:space="0" w:color="auto"/>
                  </w:divBdr>
                </w:div>
              </w:divsChild>
            </w:div>
            <w:div w:id="1331568280">
              <w:marLeft w:val="0"/>
              <w:marRight w:val="0"/>
              <w:marTop w:val="0"/>
              <w:marBottom w:val="0"/>
              <w:divBdr>
                <w:top w:val="none" w:sz="0" w:space="0" w:color="auto"/>
                <w:left w:val="none" w:sz="0" w:space="0" w:color="auto"/>
                <w:bottom w:val="none" w:sz="0" w:space="0" w:color="auto"/>
                <w:right w:val="none" w:sz="0" w:space="0" w:color="auto"/>
              </w:divBdr>
              <w:divsChild>
                <w:div w:id="586351355">
                  <w:marLeft w:val="0"/>
                  <w:marRight w:val="0"/>
                  <w:marTop w:val="0"/>
                  <w:marBottom w:val="0"/>
                  <w:divBdr>
                    <w:top w:val="none" w:sz="0" w:space="0" w:color="auto"/>
                    <w:left w:val="none" w:sz="0" w:space="0" w:color="auto"/>
                    <w:bottom w:val="none" w:sz="0" w:space="0" w:color="auto"/>
                    <w:right w:val="none" w:sz="0" w:space="0" w:color="auto"/>
                  </w:divBdr>
                </w:div>
              </w:divsChild>
            </w:div>
            <w:div w:id="1843810778">
              <w:marLeft w:val="0"/>
              <w:marRight w:val="0"/>
              <w:marTop w:val="0"/>
              <w:marBottom w:val="0"/>
              <w:divBdr>
                <w:top w:val="none" w:sz="0" w:space="0" w:color="auto"/>
                <w:left w:val="none" w:sz="0" w:space="0" w:color="auto"/>
                <w:bottom w:val="none" w:sz="0" w:space="0" w:color="auto"/>
                <w:right w:val="none" w:sz="0" w:space="0" w:color="auto"/>
              </w:divBdr>
              <w:divsChild>
                <w:div w:id="436297424">
                  <w:marLeft w:val="0"/>
                  <w:marRight w:val="0"/>
                  <w:marTop w:val="0"/>
                  <w:marBottom w:val="0"/>
                  <w:divBdr>
                    <w:top w:val="none" w:sz="0" w:space="0" w:color="auto"/>
                    <w:left w:val="none" w:sz="0" w:space="0" w:color="auto"/>
                    <w:bottom w:val="none" w:sz="0" w:space="0" w:color="auto"/>
                    <w:right w:val="none" w:sz="0" w:space="0" w:color="auto"/>
                  </w:divBdr>
                </w:div>
              </w:divsChild>
            </w:div>
            <w:div w:id="1864589536">
              <w:marLeft w:val="0"/>
              <w:marRight w:val="0"/>
              <w:marTop w:val="0"/>
              <w:marBottom w:val="0"/>
              <w:divBdr>
                <w:top w:val="none" w:sz="0" w:space="0" w:color="auto"/>
                <w:left w:val="none" w:sz="0" w:space="0" w:color="auto"/>
                <w:bottom w:val="none" w:sz="0" w:space="0" w:color="auto"/>
                <w:right w:val="none" w:sz="0" w:space="0" w:color="auto"/>
              </w:divBdr>
              <w:divsChild>
                <w:div w:id="8048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tcog.org/ep/resources/cyber-security-incident-response-planning-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7D18-5F4C-4C85-87A9-5BB5C6C9A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69C3A-844F-41DA-8668-80DCC007A3CA}">
  <ds:schemaRefs>
    <ds:schemaRef ds:uri="http://schemas.microsoft.com/sharepoint/v3/contenttype/forms"/>
  </ds:schemaRefs>
</ds:datastoreItem>
</file>

<file path=customXml/itemProps3.xml><?xml version="1.0" encoding="utf-8"?>
<ds:datastoreItem xmlns:ds="http://schemas.openxmlformats.org/officeDocument/2006/customXml" ds:itemID="{80F14EF3-D762-4036-8538-087031E25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5A665-E6E6-4513-A926-F7130C88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2021-12-21T13:27:00Z</dcterms:created>
  <dcterms:modified xsi:type="dcterms:W3CDTF">2021-12-21T13:27:00Z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