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1736FAA2" w:rsidR="00427A2F" w:rsidRPr="00866765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00456B"/>
          <w:sz w:val="40"/>
          <w:szCs w:val="40"/>
        </w:rPr>
      </w:pPr>
      <w:bookmarkStart w:id="0" w:name="_Hlk49416763"/>
      <w:r w:rsidRPr="00866765">
        <w:rPr>
          <w:b/>
          <w:bCs/>
          <w:color w:val="00456B"/>
          <w:sz w:val="40"/>
          <w:szCs w:val="40"/>
          <w:highlight w:val="lightGray"/>
        </w:rPr>
        <w:t xml:space="preserve">Name of </w:t>
      </w:r>
      <w:r w:rsidR="006C134A" w:rsidRPr="00866765">
        <w:rPr>
          <w:b/>
          <w:bCs/>
          <w:color w:val="00456B"/>
          <w:sz w:val="40"/>
          <w:szCs w:val="40"/>
          <w:highlight w:val="lightGray"/>
        </w:rPr>
        <w:t>Organization</w:t>
      </w:r>
    </w:p>
    <w:p w14:paraId="1C1FD903" w14:textId="77777777" w:rsidR="00427A2F" w:rsidRPr="00694CEE" w:rsidRDefault="00427A2F" w:rsidP="00427A2F">
      <w:pPr>
        <w:pStyle w:val="CoverDate"/>
        <w:ind w:left="0"/>
        <w:jc w:val="center"/>
        <w:rPr>
          <w:rFonts w:ascii="Century Gothic" w:hAnsi="Century Gothic"/>
          <w:color w:val="00456B"/>
        </w:rPr>
      </w:pPr>
    </w:p>
    <w:p w14:paraId="3B03451D" w14:textId="77777777" w:rsidR="00866765" w:rsidRDefault="00427A2F" w:rsidP="00427A2F">
      <w:pPr>
        <w:pStyle w:val="CoverDate"/>
        <w:ind w:left="0"/>
        <w:jc w:val="center"/>
        <w:rPr>
          <w:rFonts w:ascii="Century Gothic" w:hAnsi="Century Gothic"/>
          <w:b/>
          <w:color w:val="00456B"/>
          <w:sz w:val="72"/>
          <w:szCs w:val="72"/>
        </w:rPr>
      </w:pPr>
      <w:r>
        <w:rPr>
          <w:rFonts w:ascii="Century Gothic" w:hAnsi="Century Gothic"/>
          <w:b/>
          <w:color w:val="00456B"/>
          <w:sz w:val="72"/>
          <w:szCs w:val="72"/>
        </w:rPr>
        <w:t xml:space="preserve">Incident Response </w:t>
      </w:r>
    </w:p>
    <w:p w14:paraId="0CD5060F" w14:textId="5C953E94" w:rsidR="00427A2F" w:rsidRPr="00694CEE" w:rsidRDefault="005E18DD" w:rsidP="00427A2F">
      <w:pPr>
        <w:pStyle w:val="CoverDate"/>
        <w:ind w:left="0"/>
        <w:jc w:val="center"/>
        <w:rPr>
          <w:rFonts w:ascii="Century Gothic" w:hAnsi="Century Gothic"/>
          <w:b/>
          <w:color w:val="00456B"/>
          <w:sz w:val="72"/>
          <w:szCs w:val="72"/>
        </w:rPr>
      </w:pPr>
      <w:r>
        <w:rPr>
          <w:rFonts w:ascii="Century Gothic" w:hAnsi="Century Gothic"/>
          <w:b/>
          <w:color w:val="00456B"/>
          <w:sz w:val="72"/>
          <w:szCs w:val="72"/>
        </w:rPr>
        <w:t>Times and SLAs</w:t>
      </w:r>
    </w:p>
    <w:p w14:paraId="6356293D" w14:textId="2D0A6730" w:rsidR="00427A2F" w:rsidRDefault="00AC50F0" w:rsidP="00427A2F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00456B"/>
          <w:sz w:val="40"/>
          <w:szCs w:val="40"/>
        </w:rPr>
        <w:t>December</w:t>
      </w:r>
      <w:r w:rsidR="0014301A" w:rsidRPr="00866765">
        <w:rPr>
          <w:rFonts w:ascii="Century Gothic" w:hAnsi="Century Gothic"/>
          <w:color w:val="00456B"/>
          <w:sz w:val="40"/>
          <w:szCs w:val="40"/>
        </w:rPr>
        <w:t xml:space="preserve"> </w:t>
      </w:r>
      <w:r w:rsidR="00427A2F" w:rsidRPr="00866765">
        <w:rPr>
          <w:rFonts w:ascii="Century Gothic" w:hAnsi="Century Gothic"/>
          <w:color w:val="00456B"/>
          <w:sz w:val="40"/>
          <w:szCs w:val="40"/>
        </w:rPr>
        <w:t>2021</w:t>
      </w:r>
    </w:p>
    <w:p w14:paraId="61A7961A" w14:textId="5FE04384" w:rsidR="00866765" w:rsidRDefault="00866765" w:rsidP="00866765">
      <w:pPr>
        <w:rPr>
          <w:rFonts w:ascii="Segoe UI Semilight" w:hAnsi="Segoe UI Semilight" w:cs="Segoe UI Semilight"/>
          <w:sz w:val="22"/>
          <w:szCs w:val="22"/>
        </w:rPr>
      </w:pPr>
    </w:p>
    <w:p w14:paraId="398B09E0" w14:textId="0B8B1DCD" w:rsidR="00866765" w:rsidRDefault="00866765" w:rsidP="00866765">
      <w:pPr>
        <w:rPr>
          <w:rFonts w:ascii="Segoe UI Semilight" w:hAnsi="Segoe UI Semilight" w:cs="Segoe UI Semilight"/>
          <w:sz w:val="22"/>
          <w:szCs w:val="22"/>
        </w:rPr>
      </w:pPr>
    </w:p>
    <w:p w14:paraId="7302E98E" w14:textId="7FD6D820" w:rsidR="000C0153" w:rsidRDefault="000C0153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br w:type="page"/>
      </w:r>
    </w:p>
    <w:p w14:paraId="0605F94F" w14:textId="77777777" w:rsidR="00641A06" w:rsidRPr="008C1953" w:rsidRDefault="00641A06" w:rsidP="00641A06">
      <w:pPr>
        <w:pStyle w:val="CoverDate"/>
        <w:tabs>
          <w:tab w:val="left" w:pos="5730"/>
        </w:tabs>
        <w:spacing w:before="360" w:after="240"/>
        <w:ind w:left="0"/>
        <w:jc w:val="center"/>
        <w:rPr>
          <w:rFonts w:ascii="Century Gothic" w:hAnsi="Century Gothic" w:cs="Segoe UI Semilight"/>
          <w:b/>
          <w:bCs/>
          <w:color w:val="1F4E79" w:themeColor="accent5" w:themeShade="80"/>
          <w:sz w:val="40"/>
          <w:szCs w:val="40"/>
        </w:rPr>
      </w:pPr>
      <w:bookmarkStart w:id="1" w:name="_Toc48562416"/>
      <w:bookmarkStart w:id="2" w:name="_Toc53665188"/>
      <w:bookmarkEnd w:id="0"/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lastRenderedPageBreak/>
        <w:t>Rev</w:t>
      </w:r>
      <w:r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i</w:t>
      </w: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641A06" w14:paraId="2A0DFD83" w14:textId="77777777" w:rsidTr="0070196E">
        <w:tc>
          <w:tcPr>
            <w:tcW w:w="1975" w:type="dxa"/>
            <w:shd w:val="pct15" w:color="000000" w:fill="FFFFFF"/>
          </w:tcPr>
          <w:p w14:paraId="2E39ED1E" w14:textId="77777777" w:rsidR="00641A06" w:rsidRPr="004E275A" w:rsidRDefault="00641A06" w:rsidP="0070196E">
            <w:pPr>
              <w:pStyle w:val="BodyText"/>
              <w:jc w:val="center"/>
            </w:pPr>
            <w:r w:rsidRPr="004E275A"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7F4A722F" w14:textId="77777777" w:rsidR="00641A06" w:rsidRPr="004E275A" w:rsidRDefault="00641A06" w:rsidP="0070196E">
            <w:pPr>
              <w:pStyle w:val="BodyText"/>
              <w:jc w:val="center"/>
            </w:pPr>
            <w:r w:rsidRPr="004E275A"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660B708E" w14:textId="77777777" w:rsidR="00641A06" w:rsidRPr="004E275A" w:rsidRDefault="00641A06" w:rsidP="0070196E">
            <w:pPr>
              <w:pStyle w:val="BodyText"/>
              <w:jc w:val="center"/>
            </w:pPr>
            <w:r w:rsidRPr="004E275A"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5FE9DE9C" w14:textId="77777777" w:rsidR="00641A06" w:rsidRPr="004E275A" w:rsidRDefault="00641A06" w:rsidP="0070196E">
            <w:pPr>
              <w:pStyle w:val="BodyText"/>
              <w:jc w:val="center"/>
            </w:pPr>
            <w:r w:rsidRPr="004E275A">
              <w:t>Changed By</w:t>
            </w:r>
          </w:p>
        </w:tc>
      </w:tr>
      <w:tr w:rsidR="00641A06" w14:paraId="4BB62713" w14:textId="77777777" w:rsidTr="0070196E">
        <w:tc>
          <w:tcPr>
            <w:tcW w:w="1975" w:type="dxa"/>
          </w:tcPr>
          <w:p w14:paraId="75C34136" w14:textId="7EB1E373" w:rsidR="00641A06" w:rsidRPr="004E275A" w:rsidRDefault="00641A06" w:rsidP="0070196E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5EA99E6A" w14:textId="7B156433" w:rsidR="00641A06" w:rsidRPr="004E275A" w:rsidRDefault="00641A06" w:rsidP="0070196E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2C2F34A2" w14:textId="00B000A5" w:rsidR="00641A06" w:rsidRPr="004E275A" w:rsidRDefault="00641A06" w:rsidP="0070196E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2A02E273" w14:textId="4284EE1F" w:rsidR="00641A06" w:rsidRPr="004E275A" w:rsidRDefault="00641A06" w:rsidP="0070196E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AD5A09" w:rsidRPr="00F62393" w14:paraId="353756B8" w14:textId="77777777" w:rsidTr="000A468A">
        <w:tc>
          <w:tcPr>
            <w:tcW w:w="1975" w:type="dxa"/>
          </w:tcPr>
          <w:p w14:paraId="12A943BA" w14:textId="3A9FA8E4" w:rsidR="00AD5A09" w:rsidRPr="00F62393" w:rsidRDefault="00AD5A09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0297FC7C" w14:textId="3C163297" w:rsidR="00AD5A09" w:rsidRPr="00F62393" w:rsidRDefault="00AD5A09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1BBDC038" w14:textId="1A57F9C8" w:rsidR="00AD5A09" w:rsidRPr="00F62393" w:rsidRDefault="00AD5A09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5983ED66" w14:textId="096F9FF4" w:rsidR="00AD5A09" w:rsidRPr="00F62393" w:rsidRDefault="00AD5A09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641A06" w14:paraId="7DD846F1" w14:textId="77777777" w:rsidTr="0070196E">
        <w:tc>
          <w:tcPr>
            <w:tcW w:w="1975" w:type="dxa"/>
          </w:tcPr>
          <w:p w14:paraId="2605E0D1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A8E6E65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552DE292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C59D8A0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0E17C3E9" w14:textId="77777777" w:rsidTr="0070196E">
        <w:tc>
          <w:tcPr>
            <w:tcW w:w="1975" w:type="dxa"/>
          </w:tcPr>
          <w:p w14:paraId="6D267D11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7898D634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1A5E91CA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390BA077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122EEF9D" w14:textId="77777777" w:rsidTr="0070196E">
        <w:tc>
          <w:tcPr>
            <w:tcW w:w="1975" w:type="dxa"/>
          </w:tcPr>
          <w:p w14:paraId="40C36A7B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23D8CA4D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ED5A8BD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75B74069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446358AC" w14:textId="77777777" w:rsidTr="0070196E">
        <w:tc>
          <w:tcPr>
            <w:tcW w:w="1975" w:type="dxa"/>
          </w:tcPr>
          <w:p w14:paraId="2DAB0A11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5ADF237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D31D8C2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0C556DD6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7B0BF7C5" w14:textId="77777777" w:rsidTr="0070196E">
        <w:tc>
          <w:tcPr>
            <w:tcW w:w="1975" w:type="dxa"/>
          </w:tcPr>
          <w:p w14:paraId="324DA596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67D642EE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21D2A3B1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8DE811D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6388B904" w14:textId="77777777" w:rsidTr="0070196E">
        <w:tc>
          <w:tcPr>
            <w:tcW w:w="1975" w:type="dxa"/>
          </w:tcPr>
          <w:p w14:paraId="152D304A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1A233C5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6A8B879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1B9E4BB" w14:textId="77777777" w:rsidR="00641A06" w:rsidRDefault="00641A06" w:rsidP="0070196E">
            <w:pPr>
              <w:pStyle w:val="BodyText"/>
              <w:jc w:val="left"/>
            </w:pPr>
          </w:p>
        </w:tc>
      </w:tr>
      <w:tr w:rsidR="00641A06" w14:paraId="297A16D6" w14:textId="77777777" w:rsidTr="0070196E">
        <w:tc>
          <w:tcPr>
            <w:tcW w:w="1975" w:type="dxa"/>
          </w:tcPr>
          <w:p w14:paraId="0F2EBB8D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EDDD5AF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6F5B5CA9" w14:textId="77777777" w:rsidR="00641A06" w:rsidRDefault="00641A06" w:rsidP="0070196E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1EFEA12E" w14:textId="77777777" w:rsidR="00641A06" w:rsidRDefault="00641A06" w:rsidP="0070196E">
            <w:pPr>
              <w:pStyle w:val="BodyText"/>
              <w:jc w:val="left"/>
            </w:pPr>
          </w:p>
        </w:tc>
      </w:tr>
    </w:tbl>
    <w:p w14:paraId="4BCAE144" w14:textId="77777777" w:rsidR="00641A06" w:rsidRPr="00E5607E" w:rsidRDefault="00641A06" w:rsidP="00641A06">
      <w:pPr>
        <w:pStyle w:val="BodyText"/>
        <w:rPr>
          <w:sz w:val="22"/>
          <w:szCs w:val="22"/>
        </w:rPr>
      </w:pPr>
    </w:p>
    <w:p w14:paraId="4130B928" w14:textId="5055C3FB" w:rsidR="00641A06" w:rsidRDefault="00641A06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br w:type="page"/>
      </w:r>
    </w:p>
    <w:p w14:paraId="6D1E49D1" w14:textId="77777777" w:rsidR="00427A2F" w:rsidRPr="00694CEE" w:rsidRDefault="00427A2F" w:rsidP="00866765">
      <w:pPr>
        <w:pStyle w:val="FakeHeading1"/>
        <w:jc w:val="center"/>
      </w:pPr>
      <w:r w:rsidRPr="00694CEE">
        <w:lastRenderedPageBreak/>
        <w:t>Instructions</w:t>
      </w:r>
      <w:bookmarkEnd w:id="1"/>
      <w:bookmarkEnd w:id="2"/>
    </w:p>
    <w:p w14:paraId="3E02CEBD" w14:textId="1ED60F07" w:rsidR="00427A2F" w:rsidRPr="00866765" w:rsidRDefault="00427A2F" w:rsidP="00866765">
      <w:pPr>
        <w:pStyle w:val="BodyText"/>
        <w:jc w:val="left"/>
        <w:rPr>
          <w:sz w:val="22"/>
          <w:szCs w:val="22"/>
        </w:rPr>
      </w:pPr>
      <w:r w:rsidRPr="00866765">
        <w:rPr>
          <w:sz w:val="22"/>
          <w:szCs w:val="22"/>
        </w:rPr>
        <w:t xml:space="preserve">The </w:t>
      </w:r>
      <w:r w:rsidRPr="00866765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6C134A" w:rsidRPr="00866765">
        <w:rPr>
          <w:sz w:val="22"/>
          <w:szCs w:val="22"/>
          <w:shd w:val="clear" w:color="auto" w:fill="D9D9D9" w:themeFill="background1" w:themeFillShade="D9"/>
        </w:rPr>
        <w:t>Organization</w:t>
      </w:r>
      <w:r w:rsidRPr="00866765">
        <w:rPr>
          <w:sz w:val="22"/>
          <w:szCs w:val="22"/>
          <w:shd w:val="clear" w:color="auto" w:fill="D9D9D9" w:themeFill="background1" w:themeFillShade="D9"/>
        </w:rPr>
        <w:t>)</w:t>
      </w:r>
      <w:r w:rsidRPr="00866765">
        <w:rPr>
          <w:sz w:val="22"/>
          <w:szCs w:val="22"/>
        </w:rPr>
        <w:t xml:space="preserve"> Incident </w:t>
      </w:r>
      <w:r w:rsidR="006C134A" w:rsidRPr="00866765">
        <w:rPr>
          <w:sz w:val="22"/>
          <w:szCs w:val="22"/>
        </w:rPr>
        <w:t xml:space="preserve">Response </w:t>
      </w:r>
      <w:r w:rsidR="00135D24">
        <w:rPr>
          <w:sz w:val="22"/>
          <w:szCs w:val="22"/>
        </w:rPr>
        <w:t>Times and SLAs</w:t>
      </w:r>
      <w:r w:rsidRPr="00866765">
        <w:rPr>
          <w:sz w:val="22"/>
          <w:szCs w:val="22"/>
        </w:rPr>
        <w:t xml:space="preserve"> </w:t>
      </w:r>
      <w:r w:rsidR="00844EE5">
        <w:rPr>
          <w:sz w:val="22"/>
          <w:szCs w:val="22"/>
        </w:rPr>
        <w:t>document is</w:t>
      </w:r>
      <w:r w:rsidR="00844EE5" w:rsidRPr="00866765">
        <w:rPr>
          <w:sz w:val="22"/>
          <w:szCs w:val="22"/>
        </w:rPr>
        <w:t xml:space="preserve"> </w:t>
      </w:r>
      <w:r w:rsidRPr="00866765">
        <w:rPr>
          <w:sz w:val="22"/>
          <w:szCs w:val="22"/>
        </w:rPr>
        <w:t xml:space="preserve">designated For Official Use Only (FOUO) and is the property of </w:t>
      </w:r>
      <w:r w:rsidRPr="00866765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6C134A" w:rsidRPr="00866765">
        <w:rPr>
          <w:sz w:val="22"/>
          <w:szCs w:val="22"/>
          <w:shd w:val="clear" w:color="auto" w:fill="D9D9D9" w:themeFill="background1" w:themeFillShade="D9"/>
        </w:rPr>
        <w:t>Organization</w:t>
      </w:r>
      <w:r w:rsidRPr="00866765">
        <w:rPr>
          <w:sz w:val="22"/>
          <w:szCs w:val="22"/>
          <w:shd w:val="clear" w:color="auto" w:fill="D9D9D9" w:themeFill="background1" w:themeFillShade="D9"/>
        </w:rPr>
        <w:t>)</w:t>
      </w:r>
      <w:r w:rsidR="006C134A" w:rsidRPr="00866765">
        <w:rPr>
          <w:sz w:val="22"/>
          <w:szCs w:val="22"/>
        </w:rPr>
        <w:t xml:space="preserve">. </w:t>
      </w:r>
      <w:r w:rsidRPr="00866765">
        <w:rPr>
          <w:sz w:val="22"/>
          <w:szCs w:val="22"/>
        </w:rPr>
        <w:t xml:space="preserve">Only </w:t>
      </w:r>
      <w:r w:rsidRPr="00866765">
        <w:rPr>
          <w:sz w:val="22"/>
          <w:szCs w:val="22"/>
          <w:shd w:val="clear" w:color="auto" w:fill="D9D9D9" w:themeFill="background1" w:themeFillShade="D9"/>
        </w:rPr>
        <w:t>(Name of Organization)</w:t>
      </w:r>
      <w:r w:rsidRPr="00866765">
        <w:rPr>
          <w:sz w:val="22"/>
          <w:szCs w:val="22"/>
        </w:rPr>
        <w:t xml:space="preserve"> representatives may distribute </w:t>
      </w:r>
      <w:r w:rsidR="00055547">
        <w:rPr>
          <w:sz w:val="22"/>
          <w:szCs w:val="22"/>
        </w:rPr>
        <w:t>this document</w:t>
      </w:r>
      <w:r w:rsidR="006C134A" w:rsidRPr="00866765">
        <w:rPr>
          <w:sz w:val="22"/>
          <w:szCs w:val="22"/>
        </w:rPr>
        <w:t xml:space="preserve"> </w:t>
      </w:r>
      <w:r w:rsidRPr="00866765">
        <w:rPr>
          <w:sz w:val="22"/>
          <w:szCs w:val="22"/>
        </w:rPr>
        <w:t xml:space="preserve">to individuals </w:t>
      </w:r>
      <w:r w:rsidR="00844EE5">
        <w:rPr>
          <w:sz w:val="22"/>
          <w:szCs w:val="22"/>
        </w:rPr>
        <w:t>on</w:t>
      </w:r>
      <w:r w:rsidR="00844EE5" w:rsidRPr="00866765">
        <w:rPr>
          <w:sz w:val="22"/>
          <w:szCs w:val="22"/>
        </w:rPr>
        <w:t xml:space="preserve"> </w:t>
      </w:r>
      <w:r w:rsidRPr="00866765">
        <w:rPr>
          <w:sz w:val="22"/>
          <w:szCs w:val="22"/>
        </w:rPr>
        <w:t xml:space="preserve">a </w:t>
      </w:r>
      <w:r w:rsidR="0047775E" w:rsidRPr="00866765">
        <w:rPr>
          <w:sz w:val="22"/>
          <w:szCs w:val="22"/>
        </w:rPr>
        <w:t>need-to-know</w:t>
      </w:r>
      <w:r w:rsidR="00844EE5">
        <w:rPr>
          <w:sz w:val="22"/>
          <w:szCs w:val="22"/>
        </w:rPr>
        <w:t xml:space="preserve"> basis</w:t>
      </w:r>
      <w:r w:rsidRPr="00866765">
        <w:rPr>
          <w:sz w:val="22"/>
          <w:szCs w:val="22"/>
        </w:rPr>
        <w:t xml:space="preserve">. Distribution by other individuals without prior authorization is prohibited. </w:t>
      </w:r>
      <w:r w:rsidR="00055547">
        <w:rPr>
          <w:sz w:val="22"/>
          <w:szCs w:val="22"/>
        </w:rPr>
        <w:t>This document</w:t>
      </w:r>
      <w:r w:rsidRPr="00866765">
        <w:rPr>
          <w:sz w:val="22"/>
          <w:szCs w:val="22"/>
        </w:rPr>
        <w:t xml:space="preserve"> is unclassified but contains sensitive information</w:t>
      </w:r>
      <w:r w:rsidR="006C134A" w:rsidRPr="00866765">
        <w:rPr>
          <w:sz w:val="22"/>
          <w:szCs w:val="22"/>
        </w:rPr>
        <w:t>.</w:t>
      </w:r>
    </w:p>
    <w:p w14:paraId="21F82D99" w14:textId="48FA03B9" w:rsidR="00F57CEB" w:rsidRPr="00866765" w:rsidRDefault="00F57CEB" w:rsidP="00866765">
      <w:pPr>
        <w:rPr>
          <w:rFonts w:ascii="Segoe UI Semilight" w:hAnsi="Segoe UI Semilight"/>
          <w:sz w:val="22"/>
          <w:szCs w:val="22"/>
        </w:rPr>
      </w:pPr>
      <w:r w:rsidRPr="00866765">
        <w:rPr>
          <w:sz w:val="22"/>
          <w:szCs w:val="22"/>
        </w:rPr>
        <w:br w:type="page"/>
      </w:r>
    </w:p>
    <w:bookmarkStart w:id="3" w:name="_Toc48562418" w:displacedByCustomXml="next"/>
    <w:bookmarkStart w:id="4" w:name="_Toc48562417" w:displacedByCustomXml="next"/>
    <w:sdt>
      <w:sdtPr>
        <w:rPr>
          <w:rFonts w:ascii="Arial" w:eastAsiaTheme="minorHAnsi" w:hAnsi="Arial" w:cstheme="minorBidi"/>
          <w:color w:val="auto"/>
          <w:sz w:val="20"/>
          <w:szCs w:val="24"/>
        </w:rPr>
        <w:id w:val="15987613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1EC797" w14:textId="1F2BFF18" w:rsidR="00743167" w:rsidRPr="00357EAF" w:rsidRDefault="00743167" w:rsidP="00357EAF">
          <w:pPr>
            <w:pStyle w:val="TOCHeading"/>
            <w:jc w:val="center"/>
            <w:rPr>
              <w:rFonts w:ascii="Century Gothic" w:hAnsi="Century Gothic"/>
              <w:b/>
              <w:bCs/>
              <w:color w:val="00456B"/>
              <w:sz w:val="40"/>
              <w:szCs w:val="40"/>
            </w:rPr>
          </w:pPr>
          <w:r w:rsidRPr="00357EAF">
            <w:rPr>
              <w:rFonts w:ascii="Century Gothic" w:hAnsi="Century Gothic"/>
              <w:b/>
              <w:bCs/>
              <w:color w:val="00456B"/>
              <w:sz w:val="40"/>
              <w:szCs w:val="40"/>
            </w:rPr>
            <w:t>Table of Contents</w:t>
          </w:r>
        </w:p>
        <w:p w14:paraId="72C28BDF" w14:textId="32F08F87" w:rsidR="00533C07" w:rsidRDefault="00866765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fldChar w:fldCharType="begin"/>
          </w:r>
          <w:r>
            <w:instrText xml:space="preserve"> TOC \o \h \z \u </w:instrText>
          </w:r>
          <w:r>
            <w:fldChar w:fldCharType="separate"/>
          </w:r>
          <w:hyperlink w:anchor="_Toc85689982" w:history="1">
            <w:r w:rsidR="00533C07" w:rsidRPr="009C18A2">
              <w:rPr>
                <w:rStyle w:val="Hyperlink"/>
              </w:rPr>
              <w:t>I.</w:t>
            </w:r>
            <w:r w:rsidR="00533C07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33C07" w:rsidRPr="009C18A2">
              <w:rPr>
                <w:rStyle w:val="Hyperlink"/>
              </w:rPr>
              <w:t>Introduction and Purpose</w:t>
            </w:r>
            <w:r w:rsidR="00533C07">
              <w:rPr>
                <w:webHidden/>
              </w:rPr>
              <w:tab/>
            </w:r>
            <w:r w:rsidR="00533C07">
              <w:rPr>
                <w:webHidden/>
              </w:rPr>
              <w:fldChar w:fldCharType="begin"/>
            </w:r>
            <w:r w:rsidR="00533C07">
              <w:rPr>
                <w:webHidden/>
              </w:rPr>
              <w:instrText xml:space="preserve"> PAGEREF _Toc85689982 \h </w:instrText>
            </w:r>
            <w:r w:rsidR="00533C07">
              <w:rPr>
                <w:webHidden/>
              </w:rPr>
            </w:r>
            <w:r w:rsidR="00533C07">
              <w:rPr>
                <w:webHidden/>
              </w:rPr>
              <w:fldChar w:fldCharType="separate"/>
            </w:r>
            <w:r w:rsidR="00533C07">
              <w:rPr>
                <w:webHidden/>
              </w:rPr>
              <w:t>1</w:t>
            </w:r>
            <w:r w:rsidR="00533C07">
              <w:rPr>
                <w:webHidden/>
              </w:rPr>
              <w:fldChar w:fldCharType="end"/>
            </w:r>
          </w:hyperlink>
        </w:p>
        <w:p w14:paraId="2C7CDA2E" w14:textId="2D51677B" w:rsidR="00533C07" w:rsidRDefault="00AC50F0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85689983" w:history="1">
            <w:r w:rsidR="00533C07" w:rsidRPr="009C18A2">
              <w:rPr>
                <w:rStyle w:val="Hyperlink"/>
              </w:rPr>
              <w:t>II.</w:t>
            </w:r>
            <w:r w:rsidR="00533C07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533C07" w:rsidRPr="009C18A2">
              <w:rPr>
                <w:rStyle w:val="Hyperlink"/>
              </w:rPr>
              <w:t>Response Times</w:t>
            </w:r>
            <w:r w:rsidR="00533C07">
              <w:rPr>
                <w:webHidden/>
              </w:rPr>
              <w:tab/>
            </w:r>
            <w:r w:rsidR="00533C07">
              <w:rPr>
                <w:webHidden/>
              </w:rPr>
              <w:fldChar w:fldCharType="begin"/>
            </w:r>
            <w:r w:rsidR="00533C07">
              <w:rPr>
                <w:webHidden/>
              </w:rPr>
              <w:instrText xml:space="preserve"> PAGEREF _Toc85689983 \h </w:instrText>
            </w:r>
            <w:r w:rsidR="00533C07">
              <w:rPr>
                <w:webHidden/>
              </w:rPr>
            </w:r>
            <w:r w:rsidR="00533C07">
              <w:rPr>
                <w:webHidden/>
              </w:rPr>
              <w:fldChar w:fldCharType="separate"/>
            </w:r>
            <w:r w:rsidR="00533C07">
              <w:rPr>
                <w:webHidden/>
              </w:rPr>
              <w:t>1</w:t>
            </w:r>
            <w:r w:rsidR="00533C07">
              <w:rPr>
                <w:webHidden/>
              </w:rPr>
              <w:fldChar w:fldCharType="end"/>
            </w:r>
          </w:hyperlink>
        </w:p>
        <w:p w14:paraId="4CCAED67" w14:textId="51A556C3" w:rsidR="00533C07" w:rsidRDefault="00AC50F0">
          <w:pPr>
            <w:pStyle w:val="TOC2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85689984" w:history="1">
            <w:r w:rsidR="00533C07" w:rsidRPr="009C18A2">
              <w:rPr>
                <w:rStyle w:val="Hyperlink"/>
                <w:rFonts w:eastAsiaTheme="majorEastAsia" w:cstheme="majorBidi"/>
                <w:bCs/>
              </w:rPr>
              <w:t>Table 1: Response Times</w:t>
            </w:r>
            <w:r w:rsidR="00533C07">
              <w:rPr>
                <w:webHidden/>
              </w:rPr>
              <w:tab/>
            </w:r>
            <w:r w:rsidR="00533C07">
              <w:rPr>
                <w:webHidden/>
              </w:rPr>
              <w:fldChar w:fldCharType="begin"/>
            </w:r>
            <w:r w:rsidR="00533C07">
              <w:rPr>
                <w:webHidden/>
              </w:rPr>
              <w:instrText xml:space="preserve"> PAGEREF _Toc85689984 \h </w:instrText>
            </w:r>
            <w:r w:rsidR="00533C07">
              <w:rPr>
                <w:webHidden/>
              </w:rPr>
            </w:r>
            <w:r w:rsidR="00533C07">
              <w:rPr>
                <w:webHidden/>
              </w:rPr>
              <w:fldChar w:fldCharType="separate"/>
            </w:r>
            <w:r w:rsidR="00533C07">
              <w:rPr>
                <w:webHidden/>
              </w:rPr>
              <w:t>1</w:t>
            </w:r>
            <w:r w:rsidR="00533C07">
              <w:rPr>
                <w:webHidden/>
              </w:rPr>
              <w:fldChar w:fldCharType="end"/>
            </w:r>
          </w:hyperlink>
        </w:p>
        <w:p w14:paraId="71DBABFE" w14:textId="20026854" w:rsidR="00743167" w:rsidRDefault="00866765">
          <w:r>
            <w:rPr>
              <w:rFonts w:ascii="Segoe UI Semilight" w:hAnsi="Segoe UI Semilight" w:cs="Arial"/>
              <w:noProof/>
              <w:sz w:val="22"/>
              <w:szCs w:val="22"/>
            </w:rPr>
            <w:fldChar w:fldCharType="end"/>
          </w:r>
        </w:p>
      </w:sdtContent>
    </w:sdt>
    <w:p w14:paraId="151608A3" w14:textId="1A60C41D" w:rsidR="00B9430D" w:rsidRDefault="00B9430D" w:rsidP="00B9430D">
      <w:pPr>
        <w:rPr>
          <w:rFonts w:ascii="Segoe UI Semilight" w:hAnsi="Segoe UI Semilight" w:cs="Segoe UI Semilight"/>
          <w:sz w:val="22"/>
          <w:szCs w:val="22"/>
        </w:rPr>
      </w:pPr>
      <w:bookmarkStart w:id="5" w:name="_Toc48562419"/>
      <w:bookmarkStart w:id="6" w:name="_Toc53665190"/>
      <w:bookmarkEnd w:id="4"/>
      <w:bookmarkEnd w:id="3"/>
    </w:p>
    <w:p w14:paraId="0D5050A6" w14:textId="5D32A80D" w:rsidR="00866765" w:rsidRDefault="00866765" w:rsidP="00B9430D">
      <w:pPr>
        <w:rPr>
          <w:rFonts w:ascii="Segoe UI Semilight" w:hAnsi="Segoe UI Semilight" w:cs="Segoe UI Semilight"/>
          <w:sz w:val="22"/>
          <w:szCs w:val="22"/>
        </w:rPr>
      </w:pPr>
    </w:p>
    <w:p w14:paraId="7B65D9F4" w14:textId="2D6730C1" w:rsidR="00866765" w:rsidRDefault="00866765" w:rsidP="00B9430D">
      <w:pPr>
        <w:rPr>
          <w:rFonts w:ascii="Segoe UI Semilight" w:hAnsi="Segoe UI Semilight" w:cs="Segoe UI Semilight"/>
          <w:sz w:val="22"/>
          <w:szCs w:val="22"/>
        </w:rPr>
      </w:pPr>
    </w:p>
    <w:p w14:paraId="6AC62E9B" w14:textId="4FF6EFFC" w:rsidR="00866765" w:rsidRDefault="00866765" w:rsidP="00B9430D">
      <w:pPr>
        <w:rPr>
          <w:rFonts w:ascii="Segoe UI Semilight" w:hAnsi="Segoe UI Semilight" w:cs="Segoe UI Semilight"/>
          <w:sz w:val="22"/>
          <w:szCs w:val="22"/>
        </w:rPr>
      </w:pPr>
    </w:p>
    <w:p w14:paraId="4F61842B" w14:textId="6B18357E" w:rsidR="00866765" w:rsidRDefault="00866765" w:rsidP="00B9430D">
      <w:pPr>
        <w:rPr>
          <w:rFonts w:ascii="Segoe UI Semilight" w:hAnsi="Segoe UI Semilight" w:cs="Segoe UI Semilight"/>
          <w:sz w:val="22"/>
          <w:szCs w:val="22"/>
        </w:rPr>
      </w:pPr>
    </w:p>
    <w:p w14:paraId="1237831E" w14:textId="77777777" w:rsidR="000C0153" w:rsidRDefault="000C0153">
      <w:pPr>
        <w:rPr>
          <w:rFonts w:ascii="Segoe UI Semilight" w:hAnsi="Segoe UI Semilight" w:cs="Segoe UI Semilight"/>
          <w:sz w:val="22"/>
          <w:szCs w:val="22"/>
        </w:rPr>
        <w:sectPr w:rsidR="000C0153" w:rsidSect="000C0153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14:paraId="7D9B6856" w14:textId="34CF705A" w:rsidR="00427A2F" w:rsidRPr="00357EAF" w:rsidRDefault="00427A2F" w:rsidP="00357EAF">
      <w:pPr>
        <w:pStyle w:val="Heading1"/>
      </w:pPr>
      <w:bookmarkStart w:id="7" w:name="_Toc85689982"/>
      <w:r w:rsidRPr="00357EAF">
        <w:lastRenderedPageBreak/>
        <w:t>Introduction</w:t>
      </w:r>
      <w:bookmarkEnd w:id="5"/>
      <w:r w:rsidRPr="00357EAF">
        <w:t xml:space="preserve"> and Purpose</w:t>
      </w:r>
      <w:bookmarkEnd w:id="6"/>
      <w:bookmarkEnd w:id="7"/>
    </w:p>
    <w:p w14:paraId="3F9F13BE" w14:textId="648EA2F5" w:rsidR="00427A2F" w:rsidRPr="00135D24" w:rsidRDefault="00427A2F" w:rsidP="00135D24">
      <w:pPr>
        <w:pStyle w:val="BodyText"/>
        <w:jc w:val="left"/>
        <w:rPr>
          <w:color w:val="000000" w:themeColor="text1"/>
          <w:sz w:val="22"/>
          <w:szCs w:val="22"/>
        </w:rPr>
      </w:pPr>
      <w:r w:rsidRPr="00135D24">
        <w:rPr>
          <w:color w:val="000000" w:themeColor="text1"/>
          <w:sz w:val="22"/>
          <w:szCs w:val="22"/>
        </w:rPr>
        <w:t xml:space="preserve">The </w:t>
      </w:r>
      <w:r w:rsidR="00E43505" w:rsidRPr="00135D24">
        <w:rPr>
          <w:sz w:val="22"/>
          <w:szCs w:val="22"/>
          <w:shd w:val="clear" w:color="auto" w:fill="D9D9D9" w:themeFill="background1" w:themeFillShade="D9"/>
        </w:rPr>
        <w:t>(Name of Organization)</w:t>
      </w:r>
      <w:r w:rsidRPr="00135D24">
        <w:rPr>
          <w:color w:val="000000" w:themeColor="text1"/>
          <w:sz w:val="22"/>
          <w:szCs w:val="22"/>
        </w:rPr>
        <w:t xml:space="preserve">, Incident Response </w:t>
      </w:r>
      <w:r w:rsidR="005E18DD" w:rsidRPr="00135D24">
        <w:rPr>
          <w:color w:val="000000" w:themeColor="text1"/>
          <w:sz w:val="22"/>
          <w:szCs w:val="22"/>
        </w:rPr>
        <w:t>Times and SLAs</w:t>
      </w:r>
      <w:r w:rsidR="00641258" w:rsidRPr="00135D24">
        <w:rPr>
          <w:color w:val="000000" w:themeColor="text1"/>
          <w:sz w:val="22"/>
          <w:szCs w:val="22"/>
        </w:rPr>
        <w:t xml:space="preserve"> </w:t>
      </w:r>
      <w:r w:rsidR="00844EE5">
        <w:rPr>
          <w:color w:val="000000" w:themeColor="text1"/>
          <w:sz w:val="22"/>
          <w:szCs w:val="22"/>
        </w:rPr>
        <w:t xml:space="preserve">document </w:t>
      </w:r>
      <w:r w:rsidRPr="00135D24">
        <w:rPr>
          <w:color w:val="000000" w:themeColor="text1"/>
          <w:sz w:val="22"/>
          <w:szCs w:val="22"/>
        </w:rPr>
        <w:t>define</w:t>
      </w:r>
      <w:r w:rsidR="00641258" w:rsidRPr="00135D24">
        <w:rPr>
          <w:color w:val="000000" w:themeColor="text1"/>
          <w:sz w:val="22"/>
          <w:szCs w:val="22"/>
        </w:rPr>
        <w:t>s</w:t>
      </w:r>
      <w:r w:rsidRPr="00135D24">
        <w:rPr>
          <w:color w:val="000000" w:themeColor="text1"/>
          <w:sz w:val="22"/>
          <w:szCs w:val="22"/>
        </w:rPr>
        <w:t xml:space="preserve"> objectives for establishing specific standards on the </w:t>
      </w:r>
      <w:r w:rsidR="005E18DD" w:rsidRPr="00135D24">
        <w:rPr>
          <w:color w:val="000000" w:themeColor="text1"/>
          <w:sz w:val="22"/>
          <w:szCs w:val="22"/>
        </w:rPr>
        <w:t>agreed response times to incidents based on their priority.</w:t>
      </w:r>
      <w:r w:rsidR="00357EAF">
        <w:rPr>
          <w:color w:val="000000" w:themeColor="text1"/>
          <w:sz w:val="22"/>
          <w:szCs w:val="22"/>
        </w:rPr>
        <w:t xml:space="preserve"> </w:t>
      </w:r>
      <w:r w:rsidRPr="00135D24">
        <w:rPr>
          <w:color w:val="000000" w:themeColor="text1"/>
          <w:sz w:val="22"/>
          <w:szCs w:val="22"/>
        </w:rPr>
        <w:t>Th</w:t>
      </w:r>
      <w:r w:rsidR="005E18DD" w:rsidRPr="00135D24">
        <w:rPr>
          <w:color w:val="000000" w:themeColor="text1"/>
          <w:sz w:val="22"/>
          <w:szCs w:val="22"/>
        </w:rPr>
        <w:t>e</w:t>
      </w:r>
      <w:r w:rsidRPr="00135D24">
        <w:rPr>
          <w:color w:val="000000" w:themeColor="text1"/>
          <w:sz w:val="22"/>
          <w:szCs w:val="22"/>
        </w:rPr>
        <w:t xml:space="preserve"> Incident Response </w:t>
      </w:r>
      <w:r w:rsidR="005E18DD" w:rsidRPr="00135D24">
        <w:rPr>
          <w:color w:val="000000" w:themeColor="text1"/>
          <w:sz w:val="22"/>
          <w:szCs w:val="22"/>
        </w:rPr>
        <w:t>Times and SLAs</w:t>
      </w:r>
      <w:r w:rsidRPr="00135D24">
        <w:rPr>
          <w:color w:val="000000" w:themeColor="text1"/>
          <w:sz w:val="22"/>
          <w:szCs w:val="22"/>
        </w:rPr>
        <w:t xml:space="preserve"> </w:t>
      </w:r>
      <w:r w:rsidR="00844EE5">
        <w:rPr>
          <w:color w:val="000000" w:themeColor="text1"/>
          <w:sz w:val="22"/>
          <w:szCs w:val="22"/>
        </w:rPr>
        <w:t xml:space="preserve">document </w:t>
      </w:r>
      <w:r w:rsidRPr="00135D24">
        <w:rPr>
          <w:color w:val="000000" w:themeColor="text1"/>
          <w:sz w:val="22"/>
          <w:szCs w:val="22"/>
        </w:rPr>
        <w:t>build</w:t>
      </w:r>
      <w:r w:rsidR="000C0153">
        <w:rPr>
          <w:color w:val="000000" w:themeColor="text1"/>
          <w:sz w:val="22"/>
          <w:szCs w:val="22"/>
        </w:rPr>
        <w:t>s</w:t>
      </w:r>
      <w:r w:rsidRPr="00135D24">
        <w:rPr>
          <w:color w:val="000000" w:themeColor="text1"/>
          <w:sz w:val="22"/>
          <w:szCs w:val="22"/>
        </w:rPr>
        <w:t xml:space="preserve"> on the objectives established in the Incident Response </w:t>
      </w:r>
      <w:r w:rsidR="00641258" w:rsidRPr="00135D24">
        <w:rPr>
          <w:color w:val="000000" w:themeColor="text1"/>
          <w:sz w:val="22"/>
          <w:szCs w:val="22"/>
        </w:rPr>
        <w:t xml:space="preserve">Plan </w:t>
      </w:r>
      <w:r w:rsidR="000C0153">
        <w:rPr>
          <w:color w:val="000000" w:themeColor="text1"/>
          <w:sz w:val="22"/>
          <w:szCs w:val="22"/>
        </w:rPr>
        <w:t xml:space="preserve">(IR Plan) </w:t>
      </w:r>
      <w:r w:rsidRPr="00135D24">
        <w:rPr>
          <w:color w:val="000000" w:themeColor="text1"/>
          <w:sz w:val="22"/>
          <w:szCs w:val="22"/>
        </w:rPr>
        <w:t>and provide</w:t>
      </w:r>
      <w:r w:rsidR="000C0153">
        <w:rPr>
          <w:color w:val="000000" w:themeColor="text1"/>
          <w:sz w:val="22"/>
          <w:szCs w:val="22"/>
        </w:rPr>
        <w:t>s</w:t>
      </w:r>
      <w:r w:rsidRPr="00135D24">
        <w:rPr>
          <w:color w:val="000000" w:themeColor="text1"/>
          <w:sz w:val="22"/>
          <w:szCs w:val="22"/>
        </w:rPr>
        <w:t xml:space="preserve"> </w:t>
      </w:r>
      <w:r w:rsidR="00844EE5">
        <w:rPr>
          <w:color w:val="000000" w:themeColor="text1"/>
          <w:sz w:val="22"/>
          <w:szCs w:val="22"/>
        </w:rPr>
        <w:t>appropriate</w:t>
      </w:r>
      <w:r w:rsidR="00844EE5" w:rsidRPr="00135D24">
        <w:rPr>
          <w:color w:val="000000" w:themeColor="text1"/>
          <w:sz w:val="22"/>
          <w:szCs w:val="22"/>
        </w:rPr>
        <w:t xml:space="preserve"> </w:t>
      </w:r>
      <w:r w:rsidR="005E18DD" w:rsidRPr="00135D24">
        <w:rPr>
          <w:color w:val="000000" w:themeColor="text1"/>
          <w:sz w:val="22"/>
          <w:szCs w:val="22"/>
        </w:rPr>
        <w:t>response and communication time</w:t>
      </w:r>
      <w:r w:rsidR="00844EE5">
        <w:rPr>
          <w:color w:val="000000" w:themeColor="text1"/>
          <w:sz w:val="22"/>
          <w:szCs w:val="22"/>
        </w:rPr>
        <w:t>s</w:t>
      </w:r>
      <w:r w:rsidR="0012181F">
        <w:rPr>
          <w:color w:val="000000" w:themeColor="text1"/>
          <w:sz w:val="22"/>
          <w:szCs w:val="22"/>
        </w:rPr>
        <w:t xml:space="preserve"> </w:t>
      </w:r>
      <w:r w:rsidR="005E18DD" w:rsidRPr="00135D24">
        <w:rPr>
          <w:color w:val="000000" w:themeColor="text1"/>
          <w:sz w:val="22"/>
          <w:szCs w:val="22"/>
        </w:rPr>
        <w:t>for different types of</w:t>
      </w:r>
      <w:r w:rsidRPr="00135D24">
        <w:rPr>
          <w:color w:val="000000" w:themeColor="text1"/>
          <w:sz w:val="22"/>
          <w:szCs w:val="22"/>
        </w:rPr>
        <w:t xml:space="preserve"> incidents</w:t>
      </w:r>
      <w:r w:rsidR="00357EAF">
        <w:rPr>
          <w:color w:val="000000" w:themeColor="text1"/>
          <w:sz w:val="22"/>
          <w:szCs w:val="22"/>
        </w:rPr>
        <w:t>.</w:t>
      </w:r>
    </w:p>
    <w:p w14:paraId="51B8DB16" w14:textId="5BFDE1C4" w:rsidR="00427A2F" w:rsidRPr="00357EAF" w:rsidRDefault="00641A06" w:rsidP="00357EAF">
      <w:pPr>
        <w:pStyle w:val="Heading1"/>
      </w:pPr>
      <w:bookmarkStart w:id="8" w:name="_Toc85689983"/>
      <w:r>
        <w:t>Response Times</w:t>
      </w:r>
      <w:bookmarkEnd w:id="8"/>
    </w:p>
    <w:p w14:paraId="2DCA4B42" w14:textId="4F0E801F" w:rsidR="00427A2F" w:rsidRPr="00357EAF" w:rsidRDefault="00427A2F" w:rsidP="00357EAF">
      <w:pPr>
        <w:pStyle w:val="BodyText"/>
        <w:jc w:val="left"/>
        <w:rPr>
          <w:sz w:val="22"/>
          <w:szCs w:val="22"/>
        </w:rPr>
      </w:pPr>
      <w:r w:rsidRPr="00357EAF">
        <w:rPr>
          <w:sz w:val="22"/>
          <w:szCs w:val="22"/>
        </w:rPr>
        <w:t xml:space="preserve">The table provides guidelines on </w:t>
      </w:r>
      <w:r w:rsidR="000C0153">
        <w:rPr>
          <w:sz w:val="22"/>
          <w:szCs w:val="22"/>
        </w:rPr>
        <w:t>the agreed</w:t>
      </w:r>
      <w:r w:rsidR="00844EE5">
        <w:rPr>
          <w:sz w:val="22"/>
          <w:szCs w:val="22"/>
        </w:rPr>
        <w:t>-</w:t>
      </w:r>
      <w:r w:rsidR="000C0153">
        <w:rPr>
          <w:sz w:val="22"/>
          <w:szCs w:val="22"/>
        </w:rPr>
        <w:t xml:space="preserve">upon </w:t>
      </w:r>
      <w:r w:rsidR="00B763E8" w:rsidRPr="00357EAF">
        <w:rPr>
          <w:sz w:val="22"/>
          <w:szCs w:val="22"/>
        </w:rPr>
        <w:t xml:space="preserve">service response times. These response times </w:t>
      </w:r>
      <w:r w:rsidR="000C0153">
        <w:rPr>
          <w:sz w:val="22"/>
          <w:szCs w:val="22"/>
        </w:rPr>
        <w:t xml:space="preserve">are </w:t>
      </w:r>
      <w:r w:rsidR="00B763E8" w:rsidRPr="00357EAF">
        <w:rPr>
          <w:sz w:val="22"/>
          <w:szCs w:val="22"/>
        </w:rPr>
        <w:t xml:space="preserve">based on </w:t>
      </w:r>
      <w:r w:rsidR="000C0153">
        <w:rPr>
          <w:sz w:val="22"/>
          <w:szCs w:val="22"/>
        </w:rPr>
        <w:t>incident criticality and</w:t>
      </w:r>
      <w:r w:rsidR="00B763E8" w:rsidRPr="00357EAF">
        <w:rPr>
          <w:sz w:val="22"/>
          <w:szCs w:val="22"/>
        </w:rPr>
        <w:t xml:space="preserve"> provide each involved party a clear </w:t>
      </w:r>
      <w:r w:rsidR="00844EE5">
        <w:rPr>
          <w:sz w:val="22"/>
          <w:szCs w:val="22"/>
        </w:rPr>
        <w:t>set</w:t>
      </w:r>
      <w:r w:rsidR="00844EE5" w:rsidRPr="00357EAF">
        <w:rPr>
          <w:sz w:val="22"/>
          <w:szCs w:val="22"/>
        </w:rPr>
        <w:t xml:space="preserve"> </w:t>
      </w:r>
      <w:r w:rsidR="00B763E8" w:rsidRPr="00357EAF">
        <w:rPr>
          <w:sz w:val="22"/>
          <w:szCs w:val="22"/>
        </w:rPr>
        <w:t xml:space="preserve">of expectations. </w:t>
      </w:r>
      <w:r w:rsidRPr="00357EAF">
        <w:rPr>
          <w:sz w:val="22"/>
          <w:szCs w:val="22"/>
        </w:rPr>
        <w:t xml:space="preserve">For each categorization, the scope of the incident also has to be taken into consideration </w:t>
      </w:r>
      <w:r w:rsidR="00844EE5">
        <w:rPr>
          <w:sz w:val="22"/>
          <w:szCs w:val="22"/>
        </w:rPr>
        <w:t>when</w:t>
      </w:r>
      <w:r w:rsidR="00844EE5" w:rsidRPr="00357EAF">
        <w:rPr>
          <w:sz w:val="22"/>
          <w:szCs w:val="22"/>
        </w:rPr>
        <w:t xml:space="preserve"> </w:t>
      </w:r>
      <w:r w:rsidRPr="00357EAF">
        <w:rPr>
          <w:sz w:val="22"/>
          <w:szCs w:val="22"/>
        </w:rPr>
        <w:t>determining the overall risk, which includes evaluation of affected users, asset criticality and locations (e.g., a virus outbreak in entire test environment, completely isolated from production will have a lower categorization that the same virus outbreak in production with customer data and critical business assets).</w:t>
      </w:r>
    </w:p>
    <w:p w14:paraId="3E7660A6" w14:textId="304A68DB" w:rsidR="00C4316C" w:rsidRDefault="00C4316C" w:rsidP="00C4316C">
      <w:pPr>
        <w:keepNext/>
        <w:keepLines/>
        <w:spacing w:before="240" w:after="120"/>
        <w:outlineLvl w:val="1"/>
        <w:rPr>
          <w:rFonts w:ascii="Segoe UI Semilight" w:eastAsiaTheme="majorEastAsia" w:hAnsi="Segoe UI Semilight" w:cstheme="majorBidi"/>
          <w:bCs/>
          <w:color w:val="00456A"/>
          <w:sz w:val="32"/>
          <w:szCs w:val="26"/>
        </w:rPr>
      </w:pPr>
      <w:bookmarkStart w:id="9" w:name="_Toc85689984"/>
      <w:r w:rsidRPr="00C4316C">
        <w:rPr>
          <w:rFonts w:ascii="Segoe UI Semilight" w:eastAsiaTheme="majorEastAsia" w:hAnsi="Segoe UI Semilight" w:cstheme="majorBidi"/>
          <w:bCs/>
          <w:color w:val="00456A"/>
          <w:sz w:val="32"/>
          <w:szCs w:val="26"/>
        </w:rPr>
        <w:t xml:space="preserve">Table </w:t>
      </w:r>
      <w:r w:rsidR="00D22A9B">
        <w:rPr>
          <w:rFonts w:ascii="Segoe UI Semilight" w:eastAsiaTheme="majorEastAsia" w:hAnsi="Segoe UI Semilight" w:cstheme="majorBidi"/>
          <w:bCs/>
          <w:color w:val="00456A"/>
          <w:sz w:val="32"/>
          <w:szCs w:val="26"/>
        </w:rPr>
        <w:t>1</w:t>
      </w:r>
      <w:r w:rsidRPr="00C4316C">
        <w:rPr>
          <w:rFonts w:ascii="Segoe UI Semilight" w:eastAsiaTheme="majorEastAsia" w:hAnsi="Segoe UI Semilight" w:cstheme="majorBidi"/>
          <w:bCs/>
          <w:color w:val="00456A"/>
          <w:sz w:val="32"/>
          <w:szCs w:val="26"/>
        </w:rPr>
        <w:t xml:space="preserve">: </w:t>
      </w:r>
      <w:r w:rsidR="00E71341">
        <w:rPr>
          <w:rFonts w:ascii="Segoe UI Semilight" w:eastAsiaTheme="majorEastAsia" w:hAnsi="Segoe UI Semilight" w:cstheme="majorBidi"/>
          <w:bCs/>
          <w:color w:val="00456A"/>
          <w:sz w:val="32"/>
          <w:szCs w:val="26"/>
        </w:rPr>
        <w:t>Response Times</w:t>
      </w:r>
      <w:bookmarkEnd w:id="9"/>
    </w:p>
    <w:p w14:paraId="31A56B88" w14:textId="435F91D8" w:rsidR="00D22A9B" w:rsidRPr="00B763E8" w:rsidRDefault="00D22A9B" w:rsidP="00B763E8">
      <w:pPr>
        <w:pStyle w:val="BodyText"/>
        <w:rPr>
          <w:szCs w:val="20"/>
        </w:rPr>
      </w:pPr>
      <w:r w:rsidRPr="00C4316C">
        <w:rPr>
          <w:szCs w:val="20"/>
        </w:rPr>
        <w:t xml:space="preserve">The </w:t>
      </w:r>
      <w:r>
        <w:rPr>
          <w:szCs w:val="20"/>
        </w:rPr>
        <w:t>SLA and Response Times Table</w:t>
      </w:r>
      <w:r w:rsidRPr="00C4316C">
        <w:rPr>
          <w:szCs w:val="20"/>
        </w:rPr>
        <w:t xml:space="preserve"> defines the minimal response time and ongoing communication requirements for a case.  </w:t>
      </w:r>
    </w:p>
    <w:tbl>
      <w:tblPr>
        <w:tblW w:w="9563" w:type="dxa"/>
        <w:tblInd w:w="-11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260"/>
        <w:gridCol w:w="2430"/>
        <w:gridCol w:w="2340"/>
        <w:gridCol w:w="2520"/>
      </w:tblGrid>
      <w:tr w:rsidR="00F61209" w:rsidRPr="004956A6" w14:paraId="796F73E8" w14:textId="77777777" w:rsidTr="000C0153">
        <w:trPr>
          <w:trHeight w:val="428"/>
          <w:tblHeader/>
        </w:trPr>
        <w:tc>
          <w:tcPr>
            <w:tcW w:w="1013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84AA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b/>
                <w:bCs/>
                <w:color w:val="000000"/>
                <w:szCs w:val="20"/>
              </w:rPr>
              <w:t>Criticality Level</w:t>
            </w:r>
          </w:p>
        </w:tc>
        <w:tc>
          <w:tcPr>
            <w:tcW w:w="1260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F345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b/>
                <w:bCs/>
                <w:color w:val="000000"/>
                <w:szCs w:val="20"/>
              </w:rPr>
              <w:t>Initial Response Time</w:t>
            </w:r>
          </w:p>
        </w:tc>
        <w:tc>
          <w:tcPr>
            <w:tcW w:w="2430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82A0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b/>
                <w:bCs/>
                <w:color w:val="000000"/>
                <w:szCs w:val="20"/>
              </w:rPr>
              <w:t>Ongoing Response (Critical Phase)</w:t>
            </w:r>
          </w:p>
        </w:tc>
        <w:tc>
          <w:tcPr>
            <w:tcW w:w="2340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DE9C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b/>
                <w:bCs/>
                <w:color w:val="000000"/>
                <w:szCs w:val="20"/>
              </w:rPr>
              <w:t>Ongoing Response (Resolution Phase)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E023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b/>
                <w:bCs/>
                <w:color w:val="000000"/>
                <w:szCs w:val="20"/>
              </w:rPr>
              <w:t>Ongoing Communication Requirement</w:t>
            </w:r>
          </w:p>
        </w:tc>
      </w:tr>
      <w:tr w:rsidR="00F61209" w:rsidRPr="004956A6" w14:paraId="5D000EF4" w14:textId="77777777" w:rsidTr="000C0153">
        <w:trPr>
          <w:trHeight w:val="2355"/>
        </w:trPr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7947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1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8259" w14:textId="16B3E02C" w:rsidR="00F61209" w:rsidRPr="006C134A" w:rsidRDefault="00641A06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60 </w:t>
            </w:r>
            <w:r w:rsidR="00F61209"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Minutes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7903" w14:textId="72C254CB" w:rsidR="00F61209" w:rsidRPr="006C134A" w:rsidRDefault="00844EE5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Cybers</w:t>
            </w:r>
            <w:r w:rsidR="000C0153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ecurity Incident Response Team (</w:t>
            </w:r>
            <w: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</w:t>
            </w:r>
            <w:r w:rsidR="000C0153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IRT)</w:t>
            </w:r>
            <w:r w:rsidR="00F61209"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 </w:t>
            </w:r>
            <w:r w:rsidR="0047775E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Incident Commander</w:t>
            </w:r>
            <w:r w:rsidR="00F61209"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 assigned to work case on 24x7 basis.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120C" w14:textId="4A8C7169" w:rsidR="00F61209" w:rsidRPr="006C134A" w:rsidRDefault="0047775E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Incident Commander</w:t>
            </w:r>
            <w:r w:rsidR="00F61209"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 assigned to work on case during normal business hours.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4BC5" w14:textId="08E79EA4" w:rsidR="00F61209" w:rsidRPr="006C134A" w:rsidRDefault="00F61209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Case update sent to appropriate parties on a daily basis during critical phase. If </w:t>
            </w:r>
            <w:r w:rsidR="00844EE5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</w:t>
            </w: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IRT involvement is necessary to restore critical systems to service then case update will be sent a minimum of every 2 hours.</w:t>
            </w:r>
          </w:p>
          <w:p w14:paraId="148FB69C" w14:textId="77777777" w:rsidR="00F61209" w:rsidRPr="006C134A" w:rsidRDefault="00F61209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 </w:t>
            </w:r>
          </w:p>
          <w:p w14:paraId="685D43D4" w14:textId="77777777" w:rsidR="00F61209" w:rsidRPr="006C134A" w:rsidRDefault="00F61209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Case update sent to appropriate parties on a weekly basis during resolution phase.</w:t>
            </w:r>
          </w:p>
        </w:tc>
      </w:tr>
      <w:tr w:rsidR="00F61209" w:rsidRPr="004956A6" w14:paraId="42AAE138" w14:textId="77777777" w:rsidTr="000C0153">
        <w:trPr>
          <w:trHeight w:val="1927"/>
        </w:trPr>
        <w:tc>
          <w:tcPr>
            <w:tcW w:w="1013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98E7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lastRenderedPageBreak/>
              <w:t>2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164A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4 Hours</w:t>
            </w:r>
          </w:p>
        </w:tc>
        <w:tc>
          <w:tcPr>
            <w:tcW w:w="243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E38F" w14:textId="61179313" w:rsidR="00F61209" w:rsidRPr="006C134A" w:rsidRDefault="00844EE5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</w:t>
            </w:r>
            <w:r w:rsidR="00F61209"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IRT </w:t>
            </w:r>
            <w:r w:rsidR="0047775E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Incident Commander</w:t>
            </w:r>
            <w:r w:rsidR="00F61209"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 assigned to work case on 24x7 basis.</w:t>
            </w:r>
          </w:p>
        </w:tc>
        <w:tc>
          <w:tcPr>
            <w:tcW w:w="234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B426" w14:textId="1512F709" w:rsidR="00F61209" w:rsidRPr="006C134A" w:rsidRDefault="00844EE5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</w:t>
            </w:r>
            <w:r w:rsidR="00F61209"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IRT </w:t>
            </w:r>
            <w:r w:rsidR="0047775E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Incident Commander</w:t>
            </w:r>
            <w:r w:rsidR="00F61209"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 assigned to work on case during normal business hours.</w:t>
            </w:r>
          </w:p>
        </w:tc>
        <w:tc>
          <w:tcPr>
            <w:tcW w:w="252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EF6B" w14:textId="77777777" w:rsidR="00F61209" w:rsidRPr="006C134A" w:rsidRDefault="00F61209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Case update sent to appropriate parties on a daily basis during critical phase. </w:t>
            </w:r>
          </w:p>
          <w:p w14:paraId="02E3BF01" w14:textId="77777777" w:rsidR="00F61209" w:rsidRPr="006C134A" w:rsidRDefault="00F61209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 </w:t>
            </w:r>
          </w:p>
          <w:p w14:paraId="762348C0" w14:textId="77777777" w:rsidR="00F61209" w:rsidRPr="006C134A" w:rsidRDefault="00F61209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Case update sent to appropriate parties on a weekly basis during resolution phase.</w:t>
            </w:r>
          </w:p>
        </w:tc>
      </w:tr>
      <w:tr w:rsidR="00F61209" w:rsidRPr="004956A6" w14:paraId="6B21EC30" w14:textId="77777777" w:rsidTr="000C0153">
        <w:trPr>
          <w:trHeight w:val="1168"/>
        </w:trPr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A9B7E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3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5BBD" w14:textId="7777777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48 Hours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4464B" w14:textId="139BBFBB" w:rsidR="00F61209" w:rsidRPr="006C134A" w:rsidRDefault="00F61209" w:rsidP="00EC284F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Case is worked as </w:t>
            </w:r>
            <w:r w:rsidR="00844EE5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</w:t>
            </w: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IRT time/resources are available.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5CA0" w14:textId="591729E5" w:rsidR="00F61209" w:rsidRPr="006C134A" w:rsidRDefault="00F61209" w:rsidP="00EC284F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Case is worked as </w:t>
            </w:r>
            <w:r w:rsidR="00844EE5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</w:t>
            </w: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IRT time/resources are available.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3481" w14:textId="77777777" w:rsidR="00F61209" w:rsidRPr="006C134A" w:rsidRDefault="00F61209" w:rsidP="00EC284F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Case update sent to appropriate parties on a weekly basis.</w:t>
            </w:r>
          </w:p>
        </w:tc>
      </w:tr>
      <w:tr w:rsidR="00F61209" w:rsidRPr="004956A6" w14:paraId="7121FD90" w14:textId="77777777" w:rsidTr="000C0153">
        <w:trPr>
          <w:trHeight w:val="1312"/>
        </w:trPr>
        <w:tc>
          <w:tcPr>
            <w:tcW w:w="1013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E84D" w14:textId="2A4F8467" w:rsidR="00F61209" w:rsidRPr="006C134A" w:rsidRDefault="00F61209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4</w:t>
            </w:r>
          </w:p>
        </w:tc>
        <w:tc>
          <w:tcPr>
            <w:tcW w:w="126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E91D" w14:textId="299A0D9E" w:rsidR="00F61209" w:rsidRPr="006C134A" w:rsidRDefault="00533C07" w:rsidP="000C0153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72</w:t>
            </w:r>
            <w:r w:rsidR="00F61209"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 Hours</w:t>
            </w:r>
          </w:p>
        </w:tc>
        <w:tc>
          <w:tcPr>
            <w:tcW w:w="243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E802" w14:textId="68AF2289" w:rsidR="00F61209" w:rsidRPr="006C134A" w:rsidRDefault="00F61209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Case is worked as </w:t>
            </w:r>
            <w:r w:rsidR="00844EE5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</w:t>
            </w: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IRT time/resources are available.</w:t>
            </w:r>
          </w:p>
        </w:tc>
        <w:tc>
          <w:tcPr>
            <w:tcW w:w="234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72D6" w14:textId="21CCD4A3" w:rsidR="00F61209" w:rsidRPr="006C134A" w:rsidRDefault="00F61209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 xml:space="preserve">Case is worked as </w:t>
            </w:r>
            <w:r w:rsidR="00844EE5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</w:t>
            </w: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IRT time/resources are available.</w:t>
            </w:r>
          </w:p>
        </w:tc>
        <w:tc>
          <w:tcPr>
            <w:tcW w:w="252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5AFA" w14:textId="77777777" w:rsidR="00F61209" w:rsidRPr="006C134A" w:rsidRDefault="00F61209" w:rsidP="006303CE">
            <w:pPr>
              <w:rPr>
                <w:rFonts w:ascii="Segoe UI Semilight" w:eastAsia="Times New Roman" w:hAnsi="Segoe UI Semilight" w:cs="Segoe UI Semilight"/>
                <w:color w:val="000000"/>
                <w:szCs w:val="20"/>
              </w:rPr>
            </w:pPr>
            <w:r w:rsidRPr="006C134A">
              <w:rPr>
                <w:rFonts w:ascii="Segoe UI Semilight" w:eastAsia="Times New Roman" w:hAnsi="Segoe UI Semilight" w:cs="Segoe UI Semilight"/>
                <w:color w:val="000000"/>
                <w:szCs w:val="20"/>
              </w:rPr>
              <w:t>Case update sent to appropriate parties on a weekly basis.</w:t>
            </w:r>
          </w:p>
        </w:tc>
      </w:tr>
    </w:tbl>
    <w:p w14:paraId="26CC51A9" w14:textId="77777777" w:rsidR="00FD7B1A" w:rsidRDefault="00FD7B1A" w:rsidP="00FD7B1A">
      <w:pPr>
        <w:pStyle w:val="SubParagraph"/>
      </w:pPr>
    </w:p>
    <w:p w14:paraId="076585EF" w14:textId="77777777" w:rsidR="00FD7B1A" w:rsidRPr="006303CE" w:rsidRDefault="00FD7B1A" w:rsidP="00FD7B1A">
      <w:pPr>
        <w:pStyle w:val="SubParagraph"/>
      </w:pPr>
      <w:r>
        <w:t>I</w:t>
      </w:r>
      <w:r w:rsidRPr="006303CE">
        <w:t>nitial Response Time:</w:t>
      </w:r>
    </w:p>
    <w:p w14:paraId="5CCFC484" w14:textId="1F4E3A74" w:rsidR="00FD7B1A" w:rsidRPr="008713AF" w:rsidRDefault="00FD7B1A" w:rsidP="00FD7B1A">
      <w:pPr>
        <w:pStyle w:val="BodyText"/>
        <w:jc w:val="left"/>
        <w:rPr>
          <w:rFonts w:cs="Segoe UI Semilight"/>
          <w:sz w:val="22"/>
          <w:szCs w:val="22"/>
        </w:rPr>
      </w:pPr>
      <w:r w:rsidRPr="004F6589">
        <w:rPr>
          <w:rFonts w:cs="Segoe UI Semilight"/>
          <w:sz w:val="22"/>
          <w:szCs w:val="22"/>
        </w:rPr>
        <w:t xml:space="preserve">This specifies the maximum amount of </w:t>
      </w:r>
      <w:r w:rsidR="00844EE5">
        <w:rPr>
          <w:rFonts w:cs="Segoe UI Semilight"/>
          <w:sz w:val="22"/>
          <w:szCs w:val="22"/>
        </w:rPr>
        <w:t xml:space="preserve">elapsed </w:t>
      </w:r>
      <w:r w:rsidRPr="004F6589">
        <w:rPr>
          <w:rFonts w:cs="Segoe UI Semilight"/>
          <w:sz w:val="22"/>
          <w:szCs w:val="22"/>
        </w:rPr>
        <w:t xml:space="preserve">time </w:t>
      </w:r>
      <w:r w:rsidR="00844EE5">
        <w:rPr>
          <w:rFonts w:cs="Segoe UI Semilight"/>
          <w:sz w:val="22"/>
          <w:szCs w:val="22"/>
        </w:rPr>
        <w:t>between i</w:t>
      </w:r>
      <w:r w:rsidRPr="004F6589">
        <w:rPr>
          <w:rFonts w:cs="Segoe UI Semilight"/>
          <w:sz w:val="22"/>
          <w:szCs w:val="22"/>
        </w:rPr>
        <w:t xml:space="preserve">ncident identification </w:t>
      </w:r>
      <w:r w:rsidR="00844EE5">
        <w:rPr>
          <w:rFonts w:cs="Segoe UI Semilight"/>
          <w:sz w:val="22"/>
          <w:szCs w:val="22"/>
        </w:rPr>
        <w:t>and</w:t>
      </w:r>
      <w:r w:rsidR="00844EE5" w:rsidRPr="004F6589">
        <w:rPr>
          <w:rFonts w:cs="Segoe UI Semilight"/>
          <w:sz w:val="22"/>
          <w:szCs w:val="22"/>
        </w:rPr>
        <w:t xml:space="preserve"> </w:t>
      </w:r>
      <w:r w:rsidRPr="004F6589">
        <w:rPr>
          <w:rFonts w:cs="Segoe UI Semilight"/>
          <w:sz w:val="22"/>
          <w:szCs w:val="22"/>
        </w:rPr>
        <w:t>initial action take</w:t>
      </w:r>
      <w:r>
        <w:rPr>
          <w:rFonts w:cs="Segoe UI Semilight"/>
          <w:sz w:val="22"/>
          <w:szCs w:val="22"/>
        </w:rPr>
        <w:t>n</w:t>
      </w:r>
      <w:r w:rsidRPr="004F6589">
        <w:rPr>
          <w:rFonts w:cs="Segoe UI Semilight"/>
          <w:sz w:val="22"/>
          <w:szCs w:val="22"/>
        </w:rPr>
        <w:t xml:space="preserve"> by the </w:t>
      </w:r>
      <w:r w:rsidR="00844EE5">
        <w:rPr>
          <w:rFonts w:cs="Segoe UI Semilight"/>
          <w:sz w:val="22"/>
          <w:szCs w:val="22"/>
        </w:rPr>
        <w:t>C</w:t>
      </w:r>
      <w:r w:rsidRPr="004F6589">
        <w:rPr>
          <w:rFonts w:cs="Segoe UI Semilight"/>
          <w:sz w:val="22"/>
          <w:szCs w:val="22"/>
        </w:rPr>
        <w:t>IRT team.</w:t>
      </w:r>
    </w:p>
    <w:p w14:paraId="29B2D99D" w14:textId="77777777" w:rsidR="00FD7B1A" w:rsidRPr="00CA7828" w:rsidRDefault="00FD7B1A" w:rsidP="00FD7B1A">
      <w:pPr>
        <w:pStyle w:val="BodyText"/>
        <w:jc w:val="left"/>
        <w:rPr>
          <w:rFonts w:cs="Segoe UI Semilight"/>
          <w:sz w:val="22"/>
          <w:szCs w:val="22"/>
        </w:rPr>
      </w:pPr>
      <w:r w:rsidRPr="00470BCF">
        <w:rPr>
          <w:rFonts w:cs="Segoe UI Semilight"/>
          <w:sz w:val="22"/>
          <w:szCs w:val="22"/>
        </w:rPr>
        <w:t>At a minimum, the following should occur within this initial response time</w:t>
      </w:r>
      <w:r w:rsidRPr="00CA7828">
        <w:rPr>
          <w:rFonts w:cs="Segoe UI Semilight"/>
          <w:sz w:val="22"/>
          <w:szCs w:val="22"/>
        </w:rPr>
        <w:t xml:space="preserve">: </w:t>
      </w:r>
    </w:p>
    <w:p w14:paraId="4D5337D2" w14:textId="77777777" w:rsidR="00FD7B1A" w:rsidRPr="00CA7828" w:rsidRDefault="00FD7B1A" w:rsidP="00FD7B1A">
      <w:pPr>
        <w:pStyle w:val="BodyText"/>
        <w:numPr>
          <w:ilvl w:val="0"/>
          <w:numId w:val="32"/>
        </w:numPr>
        <w:jc w:val="left"/>
        <w:rPr>
          <w:rFonts w:cs="Segoe UI Semilight"/>
          <w:sz w:val="22"/>
          <w:szCs w:val="22"/>
        </w:rPr>
      </w:pPr>
      <w:r w:rsidRPr="00CA7828">
        <w:rPr>
          <w:rFonts w:cs="Segoe UI Semilight"/>
          <w:sz w:val="22"/>
          <w:szCs w:val="22"/>
        </w:rPr>
        <w:t>Initial assessment and triage.</w:t>
      </w:r>
    </w:p>
    <w:p w14:paraId="0C9160B0" w14:textId="77777777" w:rsidR="00FD7B1A" w:rsidRPr="00CA7828" w:rsidRDefault="00FD7B1A" w:rsidP="00FD7B1A">
      <w:pPr>
        <w:pStyle w:val="BodyText"/>
        <w:numPr>
          <w:ilvl w:val="0"/>
          <w:numId w:val="32"/>
        </w:numPr>
        <w:jc w:val="left"/>
        <w:rPr>
          <w:rFonts w:cs="Segoe UI Semilight"/>
          <w:sz w:val="22"/>
          <w:szCs w:val="22"/>
        </w:rPr>
      </w:pPr>
      <w:r w:rsidRPr="00CA7828">
        <w:rPr>
          <w:rFonts w:cs="Segoe UI Semilight"/>
          <w:sz w:val="22"/>
          <w:szCs w:val="22"/>
        </w:rPr>
        <w:t>Case classification is determined.</w:t>
      </w:r>
    </w:p>
    <w:p w14:paraId="4036FAE8" w14:textId="0AEBA1DA" w:rsidR="00FD7B1A" w:rsidRPr="00CA7828" w:rsidRDefault="00FD7B1A" w:rsidP="00FD7B1A">
      <w:pPr>
        <w:pStyle w:val="BodyText"/>
        <w:numPr>
          <w:ilvl w:val="0"/>
          <w:numId w:val="32"/>
        </w:numPr>
        <w:jc w:val="left"/>
        <w:rPr>
          <w:rFonts w:cs="Segoe UI Semilight"/>
          <w:sz w:val="22"/>
          <w:szCs w:val="22"/>
        </w:rPr>
      </w:pPr>
      <w:r w:rsidRPr="00CA7828">
        <w:rPr>
          <w:rFonts w:cs="Segoe UI Semilight"/>
          <w:sz w:val="22"/>
          <w:szCs w:val="22"/>
        </w:rPr>
        <w:t xml:space="preserve">The case ownership </w:t>
      </w:r>
      <w:r w:rsidR="00844EE5">
        <w:rPr>
          <w:rFonts w:cs="Segoe UI Semilight"/>
          <w:sz w:val="22"/>
          <w:szCs w:val="22"/>
        </w:rPr>
        <w:t>is</w:t>
      </w:r>
      <w:r w:rsidRPr="00CA7828">
        <w:rPr>
          <w:rFonts w:cs="Segoe UI Semilight"/>
          <w:sz w:val="22"/>
          <w:szCs w:val="22"/>
        </w:rPr>
        <w:t xml:space="preserve"> established, and </w:t>
      </w:r>
      <w:r w:rsidR="0047775E">
        <w:rPr>
          <w:rFonts w:cs="Segoe UI Semilight"/>
          <w:sz w:val="22"/>
          <w:szCs w:val="22"/>
        </w:rPr>
        <w:t xml:space="preserve">Incident Commander </w:t>
      </w:r>
      <w:r w:rsidRPr="00CA7828">
        <w:rPr>
          <w:rFonts w:cs="Segoe UI Semilight"/>
          <w:sz w:val="22"/>
          <w:szCs w:val="22"/>
        </w:rPr>
        <w:t>is assigned.</w:t>
      </w:r>
    </w:p>
    <w:p w14:paraId="18446E40" w14:textId="551AB014" w:rsidR="00FD7B1A" w:rsidRPr="00CA7828" w:rsidRDefault="00FD7B1A" w:rsidP="00FD7B1A">
      <w:pPr>
        <w:pStyle w:val="BodyText"/>
        <w:numPr>
          <w:ilvl w:val="0"/>
          <w:numId w:val="32"/>
        </w:numPr>
        <w:jc w:val="left"/>
        <w:rPr>
          <w:rFonts w:cs="Segoe UI Semilight"/>
          <w:sz w:val="22"/>
          <w:szCs w:val="22"/>
        </w:rPr>
      </w:pPr>
      <w:r w:rsidRPr="00CA7828">
        <w:rPr>
          <w:rFonts w:cs="Segoe UI Semilight"/>
          <w:sz w:val="22"/>
          <w:szCs w:val="22"/>
        </w:rPr>
        <w:t xml:space="preserve">An email will be sent to the customer. This is the initial “we have your case” email. This email will include various information </w:t>
      </w:r>
      <w:r w:rsidRPr="00470BCF">
        <w:rPr>
          <w:rFonts w:cs="Segoe UI Semilight"/>
          <w:sz w:val="22"/>
          <w:szCs w:val="22"/>
        </w:rPr>
        <w:t xml:space="preserve">such as the date/time of the request, case number, the name, phone, and email of the </w:t>
      </w:r>
      <w:r w:rsidR="0047775E">
        <w:rPr>
          <w:rFonts w:cs="Segoe UI Semilight"/>
          <w:sz w:val="22"/>
          <w:szCs w:val="22"/>
        </w:rPr>
        <w:t>Incident Commander</w:t>
      </w:r>
      <w:r w:rsidRPr="00470BCF">
        <w:rPr>
          <w:rFonts w:cs="Segoe UI Semilight"/>
          <w:sz w:val="22"/>
          <w:szCs w:val="22"/>
        </w:rPr>
        <w:t xml:space="preserve">, a </w:t>
      </w:r>
      <w:r w:rsidR="0047775E">
        <w:rPr>
          <w:rFonts w:cs="Segoe UI Semilight"/>
          <w:sz w:val="22"/>
          <w:szCs w:val="22"/>
        </w:rPr>
        <w:t>CIRT</w:t>
      </w:r>
      <w:r w:rsidRPr="00CA7828">
        <w:rPr>
          <w:rFonts w:cs="Segoe UI Semilight"/>
          <w:sz w:val="22"/>
          <w:szCs w:val="22"/>
        </w:rPr>
        <w:t xml:space="preserve"> escalation contact, the criticality and sensitivity level of the case, and an indication of when the customer will receive case updates. </w:t>
      </w:r>
    </w:p>
    <w:p w14:paraId="14464A2B" w14:textId="77777777" w:rsidR="00FD7B1A" w:rsidRPr="004F6589" w:rsidRDefault="00FD7B1A" w:rsidP="00FD7B1A">
      <w:pPr>
        <w:rPr>
          <w:rFonts w:ascii="Segoe UI Semilight" w:hAnsi="Segoe UI Semilight" w:cs="Segoe UI Semilight"/>
          <w:sz w:val="22"/>
          <w:szCs w:val="22"/>
        </w:rPr>
      </w:pPr>
    </w:p>
    <w:p w14:paraId="6DC071D4" w14:textId="77777777" w:rsidR="00FD7B1A" w:rsidRPr="00357EAF" w:rsidRDefault="00FD7B1A" w:rsidP="00357EAF">
      <w:pPr>
        <w:pStyle w:val="BodyText"/>
        <w:jc w:val="left"/>
        <w:rPr>
          <w:sz w:val="22"/>
          <w:szCs w:val="22"/>
        </w:rPr>
      </w:pPr>
    </w:p>
    <w:sectPr w:rsidR="00FD7B1A" w:rsidRPr="00357EAF" w:rsidSect="000C0153">
      <w:footerReference w:type="defaul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2269" w14:textId="77777777" w:rsidR="00EC0D1E" w:rsidRDefault="00EC0D1E">
      <w:r>
        <w:separator/>
      </w:r>
    </w:p>
  </w:endnote>
  <w:endnote w:type="continuationSeparator" w:id="0">
    <w:p w14:paraId="15A6B5E0" w14:textId="77777777" w:rsidR="00EC0D1E" w:rsidRDefault="00EC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AC50F0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66C9" w14:textId="77777777" w:rsidR="000C0153" w:rsidRPr="0022089D" w:rsidRDefault="00AC50F0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6422407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0C0153" w:rsidRPr="003B13D5">
          <w:rPr>
            <w:rFonts w:ascii="Arial" w:hAnsi="Arial" w:cs="Arial"/>
            <w:b w:val="0"/>
          </w:rPr>
          <w:fldChar w:fldCharType="begin"/>
        </w:r>
        <w:r w:rsidR="000C0153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0C0153" w:rsidRPr="003B13D5">
          <w:rPr>
            <w:rFonts w:ascii="Arial" w:hAnsi="Arial" w:cs="Arial"/>
            <w:b w:val="0"/>
          </w:rPr>
          <w:fldChar w:fldCharType="separate"/>
        </w:r>
        <w:r w:rsidR="000C0153">
          <w:rPr>
            <w:rFonts w:cs="Arial"/>
            <w:b w:val="0"/>
          </w:rPr>
          <w:t>iv</w:t>
        </w:r>
        <w:r w:rsidR="000C0153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1442" w14:textId="77777777" w:rsidR="00EC0D1E" w:rsidRDefault="00EC0D1E">
      <w:r>
        <w:separator/>
      </w:r>
    </w:p>
  </w:footnote>
  <w:footnote w:type="continuationSeparator" w:id="0">
    <w:p w14:paraId="6634904D" w14:textId="77777777" w:rsidR="00EC0D1E" w:rsidRDefault="00EC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267D5F40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55EF" w14:textId="32BBCF60" w:rsidR="00866765" w:rsidRPr="00866765" w:rsidRDefault="00866765" w:rsidP="00866765">
    <w:pPr>
      <w:pBdr>
        <w:bottom w:val="single" w:sz="18" w:space="1" w:color="auto"/>
      </w:pBdr>
      <w:tabs>
        <w:tab w:val="center" w:pos="4680"/>
        <w:tab w:val="right" w:pos="9360"/>
      </w:tabs>
      <w:rPr>
        <w:rFonts w:ascii="Segoe UI" w:hAnsi="Segoe UI" w:cs="Segoe UI"/>
      </w:rPr>
    </w:pPr>
    <w:r w:rsidRPr="00866765">
      <w:rPr>
        <w:rFonts w:ascii="Segoe UI" w:hAnsi="Segoe UI" w:cs="Segoe UI"/>
        <w:highlight w:val="lightGray"/>
      </w:rPr>
      <w:t>(Name of Organization)</w:t>
    </w:r>
    <w:r w:rsidRPr="00866765">
      <w:rPr>
        <w:rFonts w:ascii="Segoe UI" w:hAnsi="Segoe UI" w:cs="Segoe UI"/>
      </w:rPr>
      <w:t xml:space="preserve"> </w:t>
    </w:r>
    <w:r>
      <w:rPr>
        <w:rFonts w:ascii="Segoe UI" w:hAnsi="Segoe UI" w:cs="Segoe UI"/>
      </w:rPr>
      <w:t>Incident Response Times and SLAs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D580" w14:textId="0CB8BED3" w:rsidR="00357EAF" w:rsidRDefault="00357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" w15:restartNumberingAfterBreak="0">
    <w:nsid w:val="05011403"/>
    <w:multiLevelType w:val="hybridMultilevel"/>
    <w:tmpl w:val="F2AC4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229C8"/>
    <w:multiLevelType w:val="multilevel"/>
    <w:tmpl w:val="45E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2EFA"/>
    <w:multiLevelType w:val="multilevel"/>
    <w:tmpl w:val="C6A4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E56CA"/>
    <w:multiLevelType w:val="multilevel"/>
    <w:tmpl w:val="714A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A1E38"/>
    <w:multiLevelType w:val="multilevel"/>
    <w:tmpl w:val="FB660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632EE"/>
    <w:multiLevelType w:val="multilevel"/>
    <w:tmpl w:val="2CA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B2F5D"/>
    <w:multiLevelType w:val="multilevel"/>
    <w:tmpl w:val="97B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78008D"/>
    <w:multiLevelType w:val="multilevel"/>
    <w:tmpl w:val="C1FEA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74F1B6D"/>
    <w:multiLevelType w:val="multilevel"/>
    <w:tmpl w:val="B3D6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0E4564"/>
    <w:multiLevelType w:val="multilevel"/>
    <w:tmpl w:val="932A1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7419AD"/>
    <w:multiLevelType w:val="hybridMultilevel"/>
    <w:tmpl w:val="7320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90F57"/>
    <w:multiLevelType w:val="hybridMultilevel"/>
    <w:tmpl w:val="E9FCFC4E"/>
    <w:lvl w:ilvl="0" w:tplc="EF286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BC8"/>
    <w:multiLevelType w:val="multilevel"/>
    <w:tmpl w:val="056C3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0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1" w15:restartNumberingAfterBreak="0">
    <w:nsid w:val="50D7049C"/>
    <w:multiLevelType w:val="multilevel"/>
    <w:tmpl w:val="F7CE4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26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009A0"/>
    <w:multiLevelType w:val="multilevel"/>
    <w:tmpl w:val="F6049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C33645"/>
    <w:multiLevelType w:val="hybridMultilevel"/>
    <w:tmpl w:val="7C8C9B44"/>
    <w:lvl w:ilvl="0" w:tplc="ED5A2202">
      <w:start w:val="1"/>
      <w:numFmt w:val="upperRoman"/>
      <w:pStyle w:val="Heading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31" w15:restartNumberingAfterBreak="0">
    <w:nsid w:val="77D90638"/>
    <w:multiLevelType w:val="multilevel"/>
    <w:tmpl w:val="98D00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16414A"/>
    <w:multiLevelType w:val="multilevel"/>
    <w:tmpl w:val="ED1C0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num w:numId="1">
    <w:abstractNumId w:val="28"/>
  </w:num>
  <w:num w:numId="2">
    <w:abstractNumId w:val="10"/>
  </w:num>
  <w:num w:numId="3">
    <w:abstractNumId w:val="3"/>
  </w:num>
  <w:num w:numId="4">
    <w:abstractNumId w:val="30"/>
  </w:num>
  <w:num w:numId="5">
    <w:abstractNumId w:val="24"/>
  </w:num>
  <w:num w:numId="6">
    <w:abstractNumId w:val="13"/>
  </w:num>
  <w:num w:numId="7">
    <w:abstractNumId w:val="19"/>
  </w:num>
  <w:num w:numId="8">
    <w:abstractNumId w:val="0"/>
  </w:num>
  <w:num w:numId="9">
    <w:abstractNumId w:val="25"/>
  </w:num>
  <w:num w:numId="10">
    <w:abstractNumId w:val="33"/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16"/>
  </w:num>
  <w:num w:numId="19">
    <w:abstractNumId w:val="8"/>
  </w:num>
  <w:num w:numId="20">
    <w:abstractNumId w:val="4"/>
  </w:num>
  <w:num w:numId="21">
    <w:abstractNumId w:val="5"/>
  </w:num>
  <w:num w:numId="22">
    <w:abstractNumId w:val="18"/>
  </w:num>
  <w:num w:numId="23">
    <w:abstractNumId w:val="21"/>
  </w:num>
  <w:num w:numId="24">
    <w:abstractNumId w:val="27"/>
  </w:num>
  <w:num w:numId="25">
    <w:abstractNumId w:val="14"/>
  </w:num>
  <w:num w:numId="26">
    <w:abstractNumId w:val="12"/>
  </w:num>
  <w:num w:numId="27">
    <w:abstractNumId w:val="31"/>
  </w:num>
  <w:num w:numId="28">
    <w:abstractNumId w:val="32"/>
  </w:num>
  <w:num w:numId="29">
    <w:abstractNumId w:val="15"/>
  </w:num>
  <w:num w:numId="30">
    <w:abstractNumId w:val="6"/>
  </w:num>
  <w:num w:numId="31">
    <w:abstractNumId w:val="7"/>
  </w:num>
  <w:num w:numId="32">
    <w:abstractNumId w:val="1"/>
  </w:num>
  <w:num w:numId="33">
    <w:abstractNumId w:val="9"/>
  </w:num>
  <w:num w:numId="3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01EAC"/>
    <w:rsid w:val="00055547"/>
    <w:rsid w:val="0007670A"/>
    <w:rsid w:val="000C0153"/>
    <w:rsid w:val="000F3CA3"/>
    <w:rsid w:val="0012181F"/>
    <w:rsid w:val="00135D24"/>
    <w:rsid w:val="0014301A"/>
    <w:rsid w:val="00191EB1"/>
    <w:rsid w:val="001948F4"/>
    <w:rsid w:val="001963E8"/>
    <w:rsid w:val="00234C75"/>
    <w:rsid w:val="002A3DD0"/>
    <w:rsid w:val="002C209E"/>
    <w:rsid w:val="00316807"/>
    <w:rsid w:val="00357EAF"/>
    <w:rsid w:val="003F52B6"/>
    <w:rsid w:val="004127E6"/>
    <w:rsid w:val="00427A2F"/>
    <w:rsid w:val="00436149"/>
    <w:rsid w:val="0047775E"/>
    <w:rsid w:val="0048059D"/>
    <w:rsid w:val="004956A6"/>
    <w:rsid w:val="004B65DC"/>
    <w:rsid w:val="004D5CAD"/>
    <w:rsid w:val="00533C07"/>
    <w:rsid w:val="00556B67"/>
    <w:rsid w:val="00571ED2"/>
    <w:rsid w:val="005D43B7"/>
    <w:rsid w:val="005E18DD"/>
    <w:rsid w:val="006226DC"/>
    <w:rsid w:val="006303CE"/>
    <w:rsid w:val="00641258"/>
    <w:rsid w:val="00641A06"/>
    <w:rsid w:val="00673660"/>
    <w:rsid w:val="006A16DE"/>
    <w:rsid w:val="006B7260"/>
    <w:rsid w:val="006C134A"/>
    <w:rsid w:val="006D6B02"/>
    <w:rsid w:val="00726BEC"/>
    <w:rsid w:val="00743167"/>
    <w:rsid w:val="00765EC6"/>
    <w:rsid w:val="007C0DCD"/>
    <w:rsid w:val="00822BE1"/>
    <w:rsid w:val="0082722D"/>
    <w:rsid w:val="008330C4"/>
    <w:rsid w:val="00844EE5"/>
    <w:rsid w:val="00866765"/>
    <w:rsid w:val="009476A1"/>
    <w:rsid w:val="009724DA"/>
    <w:rsid w:val="00977D97"/>
    <w:rsid w:val="00996906"/>
    <w:rsid w:val="009E51F2"/>
    <w:rsid w:val="00A47BD0"/>
    <w:rsid w:val="00A82EB3"/>
    <w:rsid w:val="00A97A30"/>
    <w:rsid w:val="00AC50F0"/>
    <w:rsid w:val="00AD2081"/>
    <w:rsid w:val="00AD5A09"/>
    <w:rsid w:val="00AF1645"/>
    <w:rsid w:val="00B0163B"/>
    <w:rsid w:val="00B23A8C"/>
    <w:rsid w:val="00B763E8"/>
    <w:rsid w:val="00B9430D"/>
    <w:rsid w:val="00BD6149"/>
    <w:rsid w:val="00C23119"/>
    <w:rsid w:val="00C4316C"/>
    <w:rsid w:val="00C51ACB"/>
    <w:rsid w:val="00C57CA2"/>
    <w:rsid w:val="00C86F18"/>
    <w:rsid w:val="00D22A9B"/>
    <w:rsid w:val="00D37EB6"/>
    <w:rsid w:val="00D92D8E"/>
    <w:rsid w:val="00DF51F1"/>
    <w:rsid w:val="00E43505"/>
    <w:rsid w:val="00E71341"/>
    <w:rsid w:val="00EC0D1E"/>
    <w:rsid w:val="00F40BC4"/>
    <w:rsid w:val="00F576FE"/>
    <w:rsid w:val="00F57CEB"/>
    <w:rsid w:val="00F61209"/>
    <w:rsid w:val="00FD7B1A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qFormat/>
    <w:rsid w:val="00357EAF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22BE1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00456A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822BE1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822BE1"/>
    <w:rPr>
      <w:rFonts w:ascii="Segoe UI" w:eastAsiaTheme="majorEastAsia" w:hAnsi="Segoe UI" w:cs="Segoe UI"/>
      <w:b w:val="0"/>
      <w:bCs/>
      <w:iCs/>
      <w:color w:val="auto"/>
      <w:kern w:val="0"/>
      <w:sz w:val="22"/>
      <w:szCs w:val="24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rsid w:val="00357EAF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 w:val="0"/>
      <w:bCs/>
      <w:color w:val="58595B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822BE1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b w:val="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866765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866765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866765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66765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66765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66765"/>
    <w:pPr>
      <w:spacing w:after="100" w:line="259" w:lineRule="auto"/>
      <w:ind w:left="1100"/>
    </w:pPr>
    <w:rPr>
      <w:rFonts w:ascii="Segoe UI Semilight" w:eastAsiaTheme="minorEastAsia" w:hAnsi="Segoe UI Semilight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66765"/>
    <w:pPr>
      <w:spacing w:after="100" w:line="259" w:lineRule="auto"/>
      <w:ind w:left="1320"/>
    </w:pPr>
    <w:rPr>
      <w:rFonts w:ascii="Segoe UI Semilight" w:eastAsiaTheme="minorEastAsia" w:hAnsi="Segoe UI Semilight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66765"/>
    <w:pPr>
      <w:spacing w:after="100" w:line="259" w:lineRule="auto"/>
      <w:ind w:left="1540"/>
    </w:pPr>
    <w:rPr>
      <w:rFonts w:ascii="Segoe UI Semilight" w:eastAsiaTheme="minorEastAsia" w:hAnsi="Segoe UI Semilight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66765"/>
    <w:pPr>
      <w:spacing w:after="100" w:line="259" w:lineRule="auto"/>
      <w:ind w:left="1760"/>
    </w:pPr>
    <w:rPr>
      <w:rFonts w:ascii="Segoe UI Semilight" w:eastAsiaTheme="minorEastAsia" w:hAnsi="Segoe UI Semilight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6D6B0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6D6B0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paragraph" w:styleId="Revision">
    <w:name w:val="Revision"/>
    <w:hidden/>
    <w:uiPriority w:val="99"/>
    <w:semiHidden/>
    <w:rsid w:val="006C134A"/>
    <w:rPr>
      <w:rFonts w:ascii="Arial" w:hAnsi="Arial"/>
      <w:b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C5AFB-3776-456D-B2D3-7AE51F01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D7392-39EE-4707-B783-2DA90E0B4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4A310-AA0A-4562-B35C-988F33514A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3</cp:revision>
  <dcterms:created xsi:type="dcterms:W3CDTF">2021-12-10T18:55:00Z</dcterms:created>
  <dcterms:modified xsi:type="dcterms:W3CDTF">2021-12-10T19:48:00Z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