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935E6" w14:textId="77777777" w:rsidR="005A10D3" w:rsidRPr="005A10D3" w:rsidRDefault="005A10D3" w:rsidP="005A10D3">
      <w:pPr>
        <w:keepNext/>
        <w:keepLines/>
        <w:spacing w:after="220" w:line="276" w:lineRule="auto"/>
        <w:outlineLvl w:val="0"/>
        <w:rPr>
          <w:rFonts w:ascii="Calibri" w:eastAsia="Times New Roman" w:hAnsi="Calibri" w:cs="Times New Roman"/>
          <w:b/>
          <w:bCs/>
          <w:color w:val="000000"/>
          <w:kern w:val="0"/>
          <w:sz w:val="28"/>
          <w:szCs w:val="28"/>
          <w14:ligatures w14:val="none"/>
        </w:rPr>
      </w:pPr>
      <w:bookmarkStart w:id="0" w:name="_Toc44588163"/>
      <w:r w:rsidRPr="005A10D3">
        <w:rPr>
          <w:rFonts w:ascii="Calibri" w:eastAsia="Times New Roman" w:hAnsi="Calibri" w:cs="Times New Roman"/>
          <w:b/>
          <w:bCs/>
          <w:color w:val="000000"/>
          <w:kern w:val="0"/>
          <w:sz w:val="28"/>
          <w:szCs w:val="28"/>
          <w14:ligatures w14:val="none"/>
        </w:rPr>
        <w:t>Monitoring Coordination Implementation Strategies</w:t>
      </w:r>
      <w:bookmarkEnd w:id="0"/>
    </w:p>
    <w:p w14:paraId="09F5A80D" w14:textId="77777777" w:rsidR="005A10D3" w:rsidRPr="005A10D3" w:rsidRDefault="005A10D3" w:rsidP="005A10D3">
      <w:pPr>
        <w:spacing w:after="220" w:line="240" w:lineRule="auto"/>
        <w:rPr>
          <w:rFonts w:ascii="Calibri" w:eastAsia="Times New Roman" w:hAnsi="Calibri" w:cs="Times New Roman"/>
          <w:kern w:val="0"/>
          <w:sz w:val="22"/>
          <w14:ligatures w14:val="none"/>
        </w:rPr>
      </w:pPr>
      <w:r w:rsidRPr="005A10D3">
        <w:rPr>
          <w:rFonts w:ascii="Calibri" w:eastAsia="Times New Roman" w:hAnsi="Calibri" w:cs="Times New Roman"/>
          <w:kern w:val="0"/>
          <w:sz w:val="22"/>
          <w14:ligatures w14:val="none"/>
        </w:rPr>
        <w:t xml:space="preserve">The Project area is home to approximately 390 miles of rivers and streams as defined by U.S. Census Bureau’s TIGER/Line (Topologically Integrated Geographic Encoding and Referencing) data set (USCB, 2012). One hundred and fifty-three of those miles are impaired by elevated </w:t>
      </w:r>
      <w:r w:rsidRPr="005A10D3">
        <w:rPr>
          <w:rFonts w:ascii="Calibri" w:eastAsia="Times New Roman" w:hAnsi="Calibri" w:cs="Times New Roman"/>
          <w:i/>
          <w:kern w:val="0"/>
          <w:sz w:val="22"/>
          <w14:ligatures w14:val="none"/>
        </w:rPr>
        <w:t xml:space="preserve">E. coli </w:t>
      </w:r>
      <w:r w:rsidRPr="005A10D3">
        <w:rPr>
          <w:rFonts w:ascii="Calibri" w:eastAsia="Times New Roman" w:hAnsi="Calibri" w:cs="Times New Roman"/>
          <w:kern w:val="0"/>
          <w:sz w:val="22"/>
          <w14:ligatures w14:val="none"/>
        </w:rPr>
        <w:t>levels</w:t>
      </w:r>
      <w:r w:rsidRPr="005A10D3">
        <w:rPr>
          <w:rFonts w:ascii="Calibri" w:eastAsia="Times New Roman" w:hAnsi="Calibri" w:cs="Times New Roman"/>
          <w:i/>
          <w:kern w:val="0"/>
          <w:sz w:val="22"/>
          <w14:ligatures w14:val="none"/>
        </w:rPr>
        <w:t xml:space="preserve">. </w:t>
      </w:r>
      <w:r w:rsidRPr="005A10D3">
        <w:rPr>
          <w:rFonts w:ascii="Calibri" w:eastAsia="Times New Roman" w:hAnsi="Calibri" w:cs="Times New Roman"/>
          <w:kern w:val="0"/>
          <w:sz w:val="22"/>
          <w14:ligatures w14:val="none"/>
        </w:rPr>
        <w:t>Understanding the condition of rivers and streams in the region through monitoring and analyzing monitoring data is critical for developing effective plans for maintaining, managing, and restoring the waterways.</w:t>
      </w:r>
    </w:p>
    <w:p w14:paraId="303CB8FD" w14:textId="77777777" w:rsidR="005A10D3" w:rsidRPr="005A10D3" w:rsidRDefault="005A10D3" w:rsidP="005A10D3">
      <w:pPr>
        <w:spacing w:after="220" w:line="240" w:lineRule="auto"/>
        <w:rPr>
          <w:rFonts w:ascii="Calibri" w:eastAsia="Times New Roman" w:hAnsi="Calibri" w:cs="Times New Roman"/>
          <w:kern w:val="0"/>
          <w:sz w:val="22"/>
          <w14:ligatures w14:val="none"/>
        </w:rPr>
      </w:pPr>
      <w:r w:rsidRPr="005A10D3">
        <w:rPr>
          <w:rFonts w:ascii="Calibri" w:eastAsia="Times New Roman" w:hAnsi="Calibri" w:cs="Times New Roman"/>
          <w:kern w:val="0"/>
          <w:sz w:val="22"/>
          <w14:ligatures w14:val="none"/>
        </w:rPr>
        <w:t xml:space="preserve">There are several different surface water monitoring programs with data that help demonstrate the effectiveness of BMPs and other implementation strategies discussed in this I-Plan. One of the best known is the Clean Rivers Program (CRP). Established in 1991, the Texas Clean Rivers Program is a state fee-funded, non-regulatory program created to provide a framework and forum for managing water quality issues in a more holistic manner. The focus of the program is to work at the watershed level, within each river basin, by coordinating the efforts of diverse organizations. CRP is comprehensive </w:t>
      </w:r>
      <w:r w:rsidRPr="005A10D3">
        <w:rPr>
          <w:rFonts w:ascii="Georgia" w:eastAsia="Times New Roman" w:hAnsi="Georgia" w:cs="Times New Roman"/>
          <w:kern w:val="0"/>
          <w:sz w:val="22"/>
          <w14:ligatures w14:val="none"/>
        </w:rPr>
        <w:t>—</w:t>
      </w:r>
      <w:r w:rsidRPr="005A10D3">
        <w:rPr>
          <w:rFonts w:ascii="Calibri" w:eastAsia="Times New Roman" w:hAnsi="Calibri" w:cs="Times New Roman"/>
          <w:kern w:val="0"/>
          <w:sz w:val="22"/>
          <w14:ligatures w14:val="none"/>
        </w:rPr>
        <w:t xml:space="preserve"> collecting samples region-wide and should remain one of the primary sources of data for ambient water quality. This monitoring network includes dozens of sites and provides long-term data accredited through the National Environmental Laboratory Program (NELAP) for the evaluation of ambient conditions in the region’s waterways. Monitoring sites are strategically chosen to give the greatest degree of coverage while also attempting to isolate individual waterways or their smaller units to allow for the accumulation of data with direct relevance to local conditions. Monitoring is conducted under a regional Quality Assurance Project Plan (QAPP) (TCEQ, 2012b).</w:t>
      </w:r>
    </w:p>
    <w:p w14:paraId="24919994" w14:textId="77777777" w:rsidR="005A10D3" w:rsidRPr="005A10D3" w:rsidRDefault="005A10D3" w:rsidP="005A10D3">
      <w:pPr>
        <w:spacing w:after="220" w:line="240" w:lineRule="auto"/>
        <w:rPr>
          <w:rFonts w:ascii="Calibri" w:eastAsia="Times New Roman" w:hAnsi="Calibri" w:cs="Times New Roman"/>
          <w:kern w:val="0"/>
          <w:sz w:val="22"/>
          <w14:ligatures w14:val="none"/>
        </w:rPr>
      </w:pPr>
      <w:bookmarkStart w:id="1" w:name="_Hlk45097441"/>
      <w:r w:rsidRPr="005A10D3">
        <w:rPr>
          <w:rFonts w:ascii="Calibri" w:eastAsia="Times New Roman" w:hAnsi="Calibri" w:cs="Times New Roman"/>
          <w:kern w:val="0"/>
          <w:sz w:val="22"/>
          <w14:ligatures w14:val="none"/>
        </w:rPr>
        <w:t xml:space="preserve">The Regional Wet Weather Characterization Program (RWWCP) is a NCTCOG-coordinated program for Phase I MS4 regulated entities with stormwater permit requirements to monitor stormwater during wet weather (rainfall) events. NCTCOG assists local entities through a cooperative regional monitoring program designed to meet these requirements. The regional program includes the cities of Dallas, Fort Worth, Arlington, Garland, Irving, Plano, and Mesquite; and the North Texas Tollway Authority (NTTA). Data is gathered quarterly, analyzed by a NELAP-accredited laboratory, and an annual report is provided to participants. The program operates in five-year terms in conjunction with the TPDES permit term. </w:t>
      </w:r>
    </w:p>
    <w:bookmarkEnd w:id="1"/>
    <w:p w14:paraId="00BD8A2D" w14:textId="77777777" w:rsidR="005A10D3" w:rsidRPr="005A10D3" w:rsidRDefault="005A10D3" w:rsidP="005A10D3">
      <w:pPr>
        <w:spacing w:after="220" w:line="240" w:lineRule="auto"/>
        <w:rPr>
          <w:rFonts w:ascii="Calibri" w:eastAsia="Times New Roman" w:hAnsi="Calibri" w:cs="Times New Roman"/>
          <w:kern w:val="0"/>
          <w:sz w:val="22"/>
          <w14:ligatures w14:val="none"/>
        </w:rPr>
      </w:pPr>
      <w:r w:rsidRPr="005A10D3">
        <w:rPr>
          <w:rFonts w:ascii="Calibri" w:eastAsia="Times New Roman" w:hAnsi="Calibri" w:cs="Times New Roman"/>
          <w:kern w:val="0"/>
          <w:sz w:val="22"/>
          <w14:ligatures w14:val="none"/>
        </w:rPr>
        <w:t>Sampling resulting from an IDDE investigation can be useful in determining and eliminating some bacterial sources. An illicit discharge is any discharge to the MS4 not composed entirely of stormwater, except for discharges allowed under a TPDES permit. Non-stormwater discharges can originate from direct connections to the storm drain system from business or commercial establishments (illicit connections), or indirectly as improper surface discharges to the storm drain system.</w:t>
      </w:r>
    </w:p>
    <w:p w14:paraId="026A97CC" w14:textId="77777777" w:rsidR="005A10D3" w:rsidRPr="005A10D3" w:rsidRDefault="005A10D3" w:rsidP="005A10D3">
      <w:pPr>
        <w:spacing w:after="220" w:line="240" w:lineRule="auto"/>
        <w:rPr>
          <w:rFonts w:ascii="Calibri" w:eastAsia="Times New Roman" w:hAnsi="Calibri" w:cs="Times New Roman"/>
          <w:kern w:val="0"/>
          <w:sz w:val="22"/>
          <w14:ligatures w14:val="none"/>
        </w:rPr>
      </w:pPr>
      <w:r w:rsidRPr="005A10D3">
        <w:rPr>
          <w:rFonts w:ascii="Calibri" w:eastAsia="Times New Roman" w:hAnsi="Calibri" w:cs="Times New Roman"/>
          <w:kern w:val="0"/>
          <w:sz w:val="22"/>
          <w14:ligatures w14:val="none"/>
        </w:rPr>
        <w:t xml:space="preserve">Another potential source of information is effluent monitoring. Since 2010, new and renewed WWTF permits include an effluent monitoring requirement for </w:t>
      </w:r>
      <w:r w:rsidRPr="005A10D3">
        <w:rPr>
          <w:rFonts w:ascii="Calibri" w:eastAsia="Times New Roman" w:hAnsi="Calibri" w:cs="Times New Roman"/>
          <w:i/>
          <w:kern w:val="0"/>
          <w:sz w:val="22"/>
          <w14:ligatures w14:val="none"/>
        </w:rPr>
        <w:t>E. coli</w:t>
      </w:r>
      <w:r w:rsidRPr="005A10D3">
        <w:rPr>
          <w:rFonts w:ascii="Calibri" w:eastAsia="Times New Roman" w:hAnsi="Calibri" w:cs="Times New Roman"/>
          <w:kern w:val="0"/>
          <w:sz w:val="22"/>
          <w14:ligatures w14:val="none"/>
        </w:rPr>
        <w:t>. Currently required monitoring frequency is detailed in Table 8.</w:t>
      </w:r>
    </w:p>
    <w:p w14:paraId="4E4E3078" w14:textId="77777777" w:rsidR="005A10D3" w:rsidRPr="005A10D3" w:rsidRDefault="005A10D3" w:rsidP="005A10D3">
      <w:pPr>
        <w:spacing w:after="220" w:line="240" w:lineRule="auto"/>
        <w:rPr>
          <w:rFonts w:ascii="Calibri" w:eastAsia="Times New Roman" w:hAnsi="Calibri" w:cs="Times New Roman"/>
          <w:kern w:val="0"/>
          <w:sz w:val="22"/>
          <w14:ligatures w14:val="none"/>
        </w:rPr>
      </w:pPr>
      <w:r w:rsidRPr="005A10D3">
        <w:rPr>
          <w:rFonts w:ascii="Calibri" w:eastAsia="Times New Roman" w:hAnsi="Calibri" w:cs="Times New Roman"/>
          <w:kern w:val="0"/>
          <w:sz w:val="22"/>
          <w14:ligatures w14:val="none"/>
        </w:rPr>
        <w:t xml:space="preserve">Texas Stream Team is a network of trained volunteers and supportive partners working to gather information about surface water quality in the state and ensure the information is publicly available. Established in 1991, Texas Stream Team is administered through a cooperative partnership between Texas State University, TCEQ, and </w:t>
      </w:r>
      <w:proofErr w:type="gramStart"/>
      <w:r w:rsidRPr="005A10D3">
        <w:rPr>
          <w:rFonts w:ascii="Calibri" w:eastAsia="Times New Roman" w:hAnsi="Calibri" w:cs="Times New Roman"/>
          <w:kern w:val="0"/>
          <w:sz w:val="22"/>
          <w14:ligatures w14:val="none"/>
        </w:rPr>
        <w:t>the EPA</w:t>
      </w:r>
      <w:proofErr w:type="gramEnd"/>
      <w:r w:rsidRPr="005A10D3">
        <w:rPr>
          <w:rFonts w:ascii="Calibri" w:eastAsia="Times New Roman" w:hAnsi="Calibri" w:cs="Times New Roman"/>
          <w:kern w:val="0"/>
          <w:sz w:val="22"/>
          <w14:ligatures w14:val="none"/>
        </w:rPr>
        <w:t xml:space="preserve">. </w:t>
      </w:r>
      <w:proofErr w:type="gramStart"/>
      <w:r w:rsidRPr="005A10D3">
        <w:rPr>
          <w:rFonts w:ascii="Calibri" w:eastAsia="Times New Roman" w:hAnsi="Calibri" w:cs="Times New Roman"/>
          <w:kern w:val="0"/>
          <w:sz w:val="22"/>
          <w14:ligatures w14:val="none"/>
        </w:rPr>
        <w:t>For the purpose of</w:t>
      </w:r>
      <w:proofErr w:type="gramEnd"/>
      <w:r w:rsidRPr="005A10D3">
        <w:rPr>
          <w:rFonts w:ascii="Calibri" w:eastAsia="Times New Roman" w:hAnsi="Calibri" w:cs="Times New Roman"/>
          <w:kern w:val="0"/>
          <w:sz w:val="22"/>
          <w14:ligatures w14:val="none"/>
        </w:rPr>
        <w:t xml:space="preserve"> this I-Plan, Stream Team volunteers are stakeholders in the Project area committed to helping fill gaps in monitoring data wherever possible.</w:t>
      </w:r>
    </w:p>
    <w:p w14:paraId="28A65C3F" w14:textId="77777777" w:rsidR="005A10D3" w:rsidRPr="005A10D3" w:rsidRDefault="005A10D3" w:rsidP="005A10D3">
      <w:pPr>
        <w:spacing w:after="220" w:line="240" w:lineRule="auto"/>
        <w:rPr>
          <w:rFonts w:ascii="Calibri" w:eastAsia="Times New Roman" w:hAnsi="Calibri" w:cs="Times New Roman"/>
          <w:kern w:val="0"/>
          <w:sz w:val="22"/>
          <w14:ligatures w14:val="none"/>
        </w:rPr>
      </w:pPr>
      <w:r w:rsidRPr="005A10D3">
        <w:rPr>
          <w:rFonts w:ascii="Calibri" w:eastAsia="Times New Roman" w:hAnsi="Calibri" w:cs="Times New Roman"/>
          <w:kern w:val="0"/>
          <w:sz w:val="22"/>
          <w14:ligatures w14:val="none"/>
        </w:rPr>
        <w:t>The Coordination Committee encourages all feasible use of monitoring programs and the collective analysis of their respective data to help determine the efficacy of the implementation strategies within this I-Plan.</w:t>
      </w:r>
    </w:p>
    <w:p w14:paraId="112DB6A7" w14:textId="77777777" w:rsidR="005A10D3" w:rsidRPr="005A10D3" w:rsidRDefault="005A10D3" w:rsidP="005A10D3">
      <w:pPr>
        <w:keepNext/>
        <w:keepLines/>
        <w:spacing w:before="200" w:after="200" w:line="276" w:lineRule="auto"/>
        <w:outlineLvl w:val="1"/>
        <w:rPr>
          <w:rFonts w:ascii="Calibri" w:eastAsia="Times New Roman" w:hAnsi="Calibri" w:cs="Times New Roman"/>
          <w:b/>
          <w:bCs/>
          <w:kern w:val="0"/>
          <w:sz w:val="26"/>
          <w:szCs w:val="26"/>
          <w14:ligatures w14:val="none"/>
        </w:rPr>
      </w:pPr>
      <w:bookmarkStart w:id="2" w:name="_Toc44588164"/>
      <w:r w:rsidRPr="005A10D3">
        <w:rPr>
          <w:rFonts w:ascii="Calibri" w:eastAsia="Times New Roman" w:hAnsi="Calibri" w:cs="Times New Roman"/>
          <w:b/>
          <w:bCs/>
          <w:kern w:val="0"/>
          <w:sz w:val="26"/>
          <w:szCs w:val="26"/>
          <w14:ligatures w14:val="none"/>
        </w:rPr>
        <w:lastRenderedPageBreak/>
        <w:t>Implementation Strategy 6.0:  Routine sampling</w:t>
      </w:r>
      <w:bookmarkEnd w:id="2"/>
    </w:p>
    <w:p w14:paraId="21C4EF60" w14:textId="77777777" w:rsidR="005A10D3" w:rsidRPr="005A10D3" w:rsidRDefault="005A10D3" w:rsidP="005A10D3">
      <w:pPr>
        <w:spacing w:after="220" w:line="240" w:lineRule="auto"/>
        <w:rPr>
          <w:rFonts w:ascii="Calibri" w:eastAsia="Times New Roman" w:hAnsi="Calibri" w:cs="Times New Roman"/>
          <w:kern w:val="0"/>
          <w:sz w:val="22"/>
          <w14:ligatures w14:val="none"/>
        </w:rPr>
      </w:pPr>
      <w:r w:rsidRPr="005A10D3">
        <w:rPr>
          <w:rFonts w:ascii="Calibri" w:eastAsia="Times New Roman" w:hAnsi="Calibri" w:cs="Times New Roman"/>
          <w:kern w:val="0"/>
          <w:sz w:val="22"/>
          <w14:ligatures w14:val="none"/>
        </w:rPr>
        <w:t xml:space="preserve">Stakeholders currently participating in voluntary or permit-required monitoring programs, such as CRP, RWWCP, and WWTF effluent monitoring, will continue routine sampling as feasible. For voluntary programs such as CRP, the routine sampling will occur at the monitoring stations detailed in the QAPP and as resources allow. To help determine the efficacy of implementation strategies, the Monitoring Coordination Technical Subcommittee will provide analysis of routine sampling results for the Coordination Committee. Figure 14 shows the CRP monitoring locations on impaired segments in the Project area, while Table 43 summarizes the implementation strategy for routine sampling. </w:t>
      </w:r>
    </w:p>
    <w:p w14:paraId="1B1FED06" w14:textId="77777777" w:rsidR="005A10D3" w:rsidRPr="005A10D3" w:rsidRDefault="005A10D3" w:rsidP="005A10D3">
      <w:pPr>
        <w:spacing w:after="200" w:line="240" w:lineRule="auto"/>
        <w:rPr>
          <w:rFonts w:ascii="Calibri" w:eastAsia="Times New Roman" w:hAnsi="Calibri" w:cs="Times New Roman"/>
          <w:b/>
          <w:bCs/>
          <w:kern w:val="0"/>
          <w:sz w:val="22"/>
          <w:szCs w:val="22"/>
          <w14:ligatures w14:val="none"/>
        </w:rPr>
      </w:pPr>
      <w:bookmarkStart w:id="3" w:name="_Hlk5873472"/>
      <w:bookmarkStart w:id="4" w:name="_Toc5875073"/>
      <w:r w:rsidRPr="005A10D3">
        <w:rPr>
          <w:rFonts w:ascii="Calibri" w:eastAsia="Times New Roman" w:hAnsi="Calibri" w:cs="Times New Roman"/>
          <w:b/>
          <w:bCs/>
          <w:kern w:val="0"/>
          <w:sz w:val="22"/>
          <w:szCs w:val="22"/>
          <w14:ligatures w14:val="none"/>
        </w:rPr>
        <w:t xml:space="preserve">Table </w:t>
      </w:r>
      <w:r w:rsidRPr="005A10D3">
        <w:rPr>
          <w:rFonts w:ascii="Calibri" w:eastAsia="Times New Roman" w:hAnsi="Calibri" w:cs="Times New Roman"/>
          <w:b/>
          <w:bCs/>
          <w:noProof/>
          <w:kern w:val="0"/>
          <w:sz w:val="22"/>
          <w:szCs w:val="22"/>
          <w14:ligatures w14:val="none"/>
        </w:rPr>
        <w:fldChar w:fldCharType="begin"/>
      </w:r>
      <w:r w:rsidRPr="005A10D3">
        <w:rPr>
          <w:rFonts w:ascii="Calibri" w:eastAsia="Times New Roman" w:hAnsi="Calibri" w:cs="Times New Roman"/>
          <w:b/>
          <w:bCs/>
          <w:noProof/>
          <w:kern w:val="0"/>
          <w:sz w:val="22"/>
          <w:szCs w:val="22"/>
          <w14:ligatures w14:val="none"/>
        </w:rPr>
        <w:instrText xml:space="preserve"> SEQ Table \* ARABIC </w:instrText>
      </w:r>
      <w:r w:rsidRPr="005A10D3">
        <w:rPr>
          <w:rFonts w:ascii="Calibri" w:eastAsia="Times New Roman" w:hAnsi="Calibri" w:cs="Times New Roman"/>
          <w:b/>
          <w:bCs/>
          <w:noProof/>
          <w:kern w:val="0"/>
          <w:sz w:val="22"/>
          <w:szCs w:val="22"/>
          <w14:ligatures w14:val="none"/>
        </w:rPr>
        <w:fldChar w:fldCharType="separate"/>
      </w:r>
      <w:r w:rsidRPr="005A10D3">
        <w:rPr>
          <w:rFonts w:ascii="Calibri" w:eastAsia="Times New Roman" w:hAnsi="Calibri" w:cs="Times New Roman"/>
          <w:b/>
          <w:bCs/>
          <w:noProof/>
          <w:kern w:val="0"/>
          <w:sz w:val="22"/>
          <w:szCs w:val="22"/>
          <w14:ligatures w14:val="none"/>
        </w:rPr>
        <w:t>43</w:t>
      </w:r>
      <w:r w:rsidRPr="005A10D3">
        <w:rPr>
          <w:rFonts w:ascii="Calibri" w:eastAsia="Times New Roman" w:hAnsi="Calibri" w:cs="Times New Roman"/>
          <w:b/>
          <w:bCs/>
          <w:noProof/>
          <w:kern w:val="0"/>
          <w:sz w:val="22"/>
          <w:szCs w:val="22"/>
          <w14:ligatures w14:val="none"/>
        </w:rPr>
        <w:fldChar w:fldCharType="end"/>
      </w:r>
      <w:bookmarkEnd w:id="3"/>
      <w:r w:rsidRPr="005A10D3">
        <w:rPr>
          <w:rFonts w:ascii="Calibri" w:eastAsia="Times New Roman" w:hAnsi="Calibri" w:cs="Times New Roman"/>
          <w:b/>
          <w:bCs/>
          <w:kern w:val="0"/>
          <w:sz w:val="22"/>
          <w:szCs w:val="22"/>
          <w14:ligatures w14:val="none"/>
        </w:rPr>
        <w:t xml:space="preserve">. Implementation Strategy 6.0 Summary </w:t>
      </w:r>
      <w:r w:rsidRPr="005A10D3">
        <w:rPr>
          <w:rFonts w:ascii="Georgia" w:eastAsia="Times New Roman" w:hAnsi="Georgia" w:cs="Times New Roman"/>
          <w:b/>
          <w:bCs/>
          <w:kern w:val="0"/>
          <w:sz w:val="22"/>
          <w:szCs w:val="22"/>
          <w14:ligatures w14:val="none"/>
        </w:rPr>
        <w:t>—</w:t>
      </w:r>
      <w:r w:rsidRPr="005A10D3">
        <w:rPr>
          <w:rFonts w:ascii="Calibri" w:eastAsia="Times New Roman" w:hAnsi="Calibri" w:cs="Times New Roman"/>
          <w:b/>
          <w:bCs/>
          <w:kern w:val="0"/>
          <w:sz w:val="22"/>
          <w:szCs w:val="22"/>
          <w14:ligatures w14:val="none"/>
        </w:rPr>
        <w:t xml:space="preserve"> Routine sampling</w:t>
      </w:r>
      <w:bookmarkEnd w:id="4"/>
    </w:p>
    <w:tbl>
      <w:tblPr>
        <w:tblStyle w:val="TableGrid"/>
        <w:tblW w:w="0" w:type="auto"/>
        <w:tblLook w:val="04A0" w:firstRow="1" w:lastRow="0" w:firstColumn="1" w:lastColumn="0" w:noHBand="0" w:noVBand="1"/>
        <w:tblCaption w:val="Table 39. Implementation Strategy 6.0 Summary — Routine sampling"/>
        <w:tblDescription w:val="A table summarizing Implementation Strategy 6.0— Routine sampling."/>
      </w:tblPr>
      <w:tblGrid>
        <w:gridCol w:w="3286"/>
        <w:gridCol w:w="6064"/>
      </w:tblGrid>
      <w:tr w:rsidR="005A10D3" w:rsidRPr="005A10D3" w14:paraId="294E4042" w14:textId="77777777" w:rsidTr="00674778">
        <w:trPr>
          <w:cantSplit/>
        </w:trPr>
        <w:tc>
          <w:tcPr>
            <w:tcW w:w="3348" w:type="dxa"/>
          </w:tcPr>
          <w:p w14:paraId="32D4CD08" w14:textId="77777777" w:rsidR="005A10D3" w:rsidRPr="00A62C4A" w:rsidRDefault="005A10D3" w:rsidP="005A10D3">
            <w:pPr>
              <w:rPr>
                <w:rFonts w:ascii="Calibri" w:hAnsi="Calibri" w:cs="Times New Roman"/>
                <w:b/>
                <w:bCs/>
                <w:sz w:val="20"/>
                <w:szCs w:val="20"/>
              </w:rPr>
            </w:pPr>
            <w:r w:rsidRPr="00A62C4A">
              <w:rPr>
                <w:rFonts w:ascii="Calibri" w:hAnsi="Calibri" w:cs="Times New Roman"/>
                <w:b/>
                <w:bCs/>
                <w:sz w:val="20"/>
                <w:szCs w:val="20"/>
              </w:rPr>
              <w:t>Targeted Source(s)</w:t>
            </w:r>
            <w:bookmarkStart w:id="5" w:name="RowTitle_Strategy6_0"/>
            <w:bookmarkEnd w:id="5"/>
          </w:p>
        </w:tc>
        <w:tc>
          <w:tcPr>
            <w:tcW w:w="6228" w:type="dxa"/>
          </w:tcPr>
          <w:p w14:paraId="28CA7B2F" w14:textId="77777777" w:rsidR="005A10D3" w:rsidRPr="00A62C4A" w:rsidRDefault="005A10D3" w:rsidP="005A10D3">
            <w:pPr>
              <w:rPr>
                <w:rFonts w:ascii="Calibri" w:hAnsi="Calibri" w:cs="Times New Roman"/>
                <w:sz w:val="20"/>
                <w:szCs w:val="20"/>
              </w:rPr>
            </w:pPr>
            <w:r w:rsidRPr="00A62C4A">
              <w:rPr>
                <w:rFonts w:ascii="Calibri" w:hAnsi="Calibri" w:cs="Times New Roman"/>
                <w:sz w:val="20"/>
                <w:szCs w:val="20"/>
              </w:rPr>
              <w:t>All potential sources</w:t>
            </w:r>
          </w:p>
          <w:p w14:paraId="7AE4744A" w14:textId="77777777" w:rsidR="005A10D3" w:rsidRPr="00A62C4A" w:rsidRDefault="005A10D3" w:rsidP="005A10D3">
            <w:pPr>
              <w:rPr>
                <w:rFonts w:ascii="Calibri" w:hAnsi="Calibri" w:cs="Times New Roman"/>
                <w:sz w:val="20"/>
                <w:szCs w:val="20"/>
              </w:rPr>
            </w:pPr>
          </w:p>
        </w:tc>
      </w:tr>
      <w:tr w:rsidR="005A10D3" w:rsidRPr="005A10D3" w14:paraId="1A12721F" w14:textId="77777777" w:rsidTr="00674778">
        <w:trPr>
          <w:cantSplit/>
        </w:trPr>
        <w:tc>
          <w:tcPr>
            <w:tcW w:w="3348" w:type="dxa"/>
          </w:tcPr>
          <w:p w14:paraId="3A03E3BE" w14:textId="77777777" w:rsidR="005A10D3" w:rsidRPr="00A62C4A" w:rsidRDefault="005A10D3" w:rsidP="005A10D3">
            <w:pPr>
              <w:rPr>
                <w:rFonts w:ascii="Calibri" w:hAnsi="Calibri" w:cs="Times New Roman"/>
                <w:b/>
                <w:bCs/>
                <w:sz w:val="20"/>
                <w:szCs w:val="20"/>
              </w:rPr>
            </w:pPr>
            <w:r w:rsidRPr="00A62C4A">
              <w:rPr>
                <w:rFonts w:ascii="Calibri" w:hAnsi="Calibri" w:cs="Times New Roman"/>
                <w:b/>
                <w:bCs/>
                <w:sz w:val="20"/>
                <w:szCs w:val="20"/>
              </w:rPr>
              <w:t>Estimated Potential Load Reduction</w:t>
            </w:r>
          </w:p>
        </w:tc>
        <w:tc>
          <w:tcPr>
            <w:tcW w:w="6228" w:type="dxa"/>
          </w:tcPr>
          <w:p w14:paraId="66A2B9F7" w14:textId="77777777" w:rsidR="005A10D3" w:rsidRDefault="005A10D3" w:rsidP="005A10D3">
            <w:pPr>
              <w:rPr>
                <w:rFonts w:ascii="Calibri" w:hAnsi="Calibri" w:cs="Times New Roman"/>
                <w:sz w:val="20"/>
                <w:szCs w:val="20"/>
              </w:rPr>
            </w:pPr>
            <w:r w:rsidRPr="00A62C4A">
              <w:rPr>
                <w:rFonts w:ascii="Calibri" w:hAnsi="Calibri" w:cs="Times New Roman"/>
                <w:sz w:val="20"/>
                <w:szCs w:val="20"/>
              </w:rPr>
              <w:t>IS 6.0 will allow tracking and verification of bacteria load reductions and may result in a 2% reduction over 25 years</w:t>
            </w:r>
          </w:p>
          <w:p w14:paraId="61913105" w14:textId="5DE73A7E" w:rsidR="00B317B5" w:rsidRPr="00A62C4A" w:rsidRDefault="00B317B5" w:rsidP="005A10D3">
            <w:pPr>
              <w:rPr>
                <w:rFonts w:ascii="Calibri" w:hAnsi="Calibri" w:cs="Times New Roman"/>
                <w:sz w:val="20"/>
                <w:szCs w:val="20"/>
              </w:rPr>
            </w:pPr>
          </w:p>
        </w:tc>
      </w:tr>
      <w:tr w:rsidR="005A10D3" w:rsidRPr="005A10D3" w14:paraId="2FC86D50" w14:textId="77777777" w:rsidTr="00674778">
        <w:trPr>
          <w:cantSplit/>
        </w:trPr>
        <w:tc>
          <w:tcPr>
            <w:tcW w:w="3348" w:type="dxa"/>
          </w:tcPr>
          <w:p w14:paraId="50B0D8EA" w14:textId="77777777" w:rsidR="005A10D3" w:rsidRPr="00A62C4A" w:rsidRDefault="005A10D3" w:rsidP="005A10D3">
            <w:pPr>
              <w:rPr>
                <w:rFonts w:ascii="Calibri" w:hAnsi="Calibri" w:cs="Times New Roman"/>
                <w:b/>
                <w:bCs/>
                <w:sz w:val="20"/>
                <w:szCs w:val="20"/>
              </w:rPr>
            </w:pPr>
            <w:r w:rsidRPr="00A62C4A">
              <w:rPr>
                <w:rFonts w:ascii="Calibri" w:hAnsi="Calibri" w:cs="Times New Roman"/>
                <w:b/>
                <w:bCs/>
                <w:sz w:val="20"/>
                <w:szCs w:val="20"/>
              </w:rPr>
              <w:t>Technical and Financial Assistance Needed</w:t>
            </w:r>
          </w:p>
        </w:tc>
        <w:tc>
          <w:tcPr>
            <w:tcW w:w="6228" w:type="dxa"/>
          </w:tcPr>
          <w:p w14:paraId="2B7E780E" w14:textId="77777777" w:rsidR="005A10D3" w:rsidRPr="00A62C4A" w:rsidRDefault="005A10D3" w:rsidP="005A10D3">
            <w:pPr>
              <w:rPr>
                <w:rFonts w:ascii="Calibri" w:hAnsi="Calibri" w:cs="Times New Roman"/>
                <w:color w:val="000000"/>
                <w:sz w:val="20"/>
                <w:szCs w:val="20"/>
              </w:rPr>
            </w:pPr>
            <w:r w:rsidRPr="00A62C4A">
              <w:rPr>
                <w:rFonts w:ascii="Calibri" w:hAnsi="Calibri" w:cs="Times New Roman"/>
                <w:color w:val="000000"/>
                <w:sz w:val="20"/>
                <w:szCs w:val="20"/>
                <w:u w:val="single"/>
              </w:rPr>
              <w:t>Technical</w:t>
            </w:r>
            <w:r w:rsidRPr="00A62C4A">
              <w:rPr>
                <w:rFonts w:ascii="Calibri" w:hAnsi="Calibri" w:cs="Times New Roman"/>
                <w:color w:val="000000"/>
                <w:sz w:val="20"/>
                <w:szCs w:val="20"/>
              </w:rPr>
              <w:t xml:space="preserve">: some technical assistance may be necessary should entities new to monitoring wish to participate </w:t>
            </w:r>
            <w:r w:rsidRPr="00A62C4A">
              <w:rPr>
                <w:rFonts w:ascii="Calibri" w:hAnsi="Calibri" w:cs="Times New Roman"/>
                <w:color w:val="000000"/>
                <w:sz w:val="20"/>
                <w:szCs w:val="20"/>
              </w:rPr>
              <w:br/>
            </w:r>
            <w:r w:rsidRPr="00A62C4A">
              <w:rPr>
                <w:rFonts w:ascii="Calibri" w:hAnsi="Calibri" w:cs="Times New Roman"/>
                <w:color w:val="000000"/>
                <w:sz w:val="20"/>
                <w:szCs w:val="20"/>
              </w:rPr>
              <w:br/>
            </w:r>
            <w:r w:rsidRPr="00A62C4A">
              <w:rPr>
                <w:rFonts w:ascii="Calibri" w:hAnsi="Calibri" w:cs="Times New Roman"/>
                <w:color w:val="000000"/>
                <w:sz w:val="20"/>
                <w:szCs w:val="20"/>
                <w:u w:val="single"/>
              </w:rPr>
              <w:t>Financial</w:t>
            </w:r>
            <w:r w:rsidRPr="00A62C4A">
              <w:rPr>
                <w:rFonts w:ascii="Calibri" w:hAnsi="Calibri" w:cs="Times New Roman"/>
                <w:color w:val="000000"/>
                <w:sz w:val="20"/>
                <w:szCs w:val="20"/>
              </w:rPr>
              <w:t>:  grants or existing funding as appropriate</w:t>
            </w:r>
          </w:p>
          <w:p w14:paraId="2DD06BE8" w14:textId="77777777" w:rsidR="005A10D3" w:rsidRPr="00A62C4A" w:rsidRDefault="005A10D3" w:rsidP="005A10D3">
            <w:pPr>
              <w:rPr>
                <w:rFonts w:ascii="Calibri" w:hAnsi="Calibri" w:cs="Times New Roman"/>
                <w:sz w:val="20"/>
                <w:szCs w:val="20"/>
              </w:rPr>
            </w:pPr>
          </w:p>
        </w:tc>
      </w:tr>
      <w:tr w:rsidR="005A10D3" w:rsidRPr="005A10D3" w14:paraId="72286B38" w14:textId="77777777" w:rsidTr="00674778">
        <w:trPr>
          <w:cantSplit/>
        </w:trPr>
        <w:tc>
          <w:tcPr>
            <w:tcW w:w="3348" w:type="dxa"/>
          </w:tcPr>
          <w:p w14:paraId="37165B39" w14:textId="77777777" w:rsidR="005A10D3" w:rsidRPr="00A62C4A" w:rsidRDefault="005A10D3" w:rsidP="005A10D3">
            <w:pPr>
              <w:rPr>
                <w:rFonts w:ascii="Calibri" w:hAnsi="Calibri" w:cs="Times New Roman"/>
                <w:b/>
                <w:bCs/>
                <w:sz w:val="20"/>
                <w:szCs w:val="20"/>
              </w:rPr>
            </w:pPr>
            <w:r w:rsidRPr="00A62C4A">
              <w:rPr>
                <w:rFonts w:ascii="Calibri" w:hAnsi="Calibri" w:cs="Times New Roman"/>
                <w:b/>
                <w:bCs/>
                <w:sz w:val="20"/>
                <w:szCs w:val="20"/>
              </w:rPr>
              <w:t>Education Component</w:t>
            </w:r>
          </w:p>
        </w:tc>
        <w:tc>
          <w:tcPr>
            <w:tcW w:w="6228" w:type="dxa"/>
          </w:tcPr>
          <w:p w14:paraId="6FB66648" w14:textId="77777777" w:rsidR="005A10D3" w:rsidRPr="00A62C4A" w:rsidRDefault="005A10D3" w:rsidP="005A10D3">
            <w:pPr>
              <w:rPr>
                <w:rFonts w:ascii="Calibri" w:hAnsi="Calibri" w:cs="Times New Roman"/>
                <w:color w:val="000000"/>
                <w:sz w:val="20"/>
                <w:szCs w:val="20"/>
              </w:rPr>
            </w:pPr>
            <w:r w:rsidRPr="00A62C4A">
              <w:rPr>
                <w:rFonts w:ascii="Calibri" w:hAnsi="Calibri" w:cs="Times New Roman"/>
                <w:color w:val="000000"/>
                <w:sz w:val="20"/>
                <w:szCs w:val="20"/>
              </w:rPr>
              <w:t>Some education of governing bodies may be necessary to start, maintain, or expand monitoring programs</w:t>
            </w:r>
          </w:p>
          <w:p w14:paraId="437ECA6C" w14:textId="77777777" w:rsidR="005A10D3" w:rsidRPr="00A62C4A" w:rsidRDefault="005A10D3" w:rsidP="005A10D3">
            <w:pPr>
              <w:rPr>
                <w:rFonts w:ascii="Calibri" w:hAnsi="Calibri" w:cs="Times New Roman"/>
                <w:sz w:val="20"/>
                <w:szCs w:val="20"/>
              </w:rPr>
            </w:pPr>
          </w:p>
        </w:tc>
      </w:tr>
      <w:tr w:rsidR="005A10D3" w:rsidRPr="005A10D3" w14:paraId="578A0D19" w14:textId="77777777" w:rsidTr="00674778">
        <w:trPr>
          <w:cantSplit/>
        </w:trPr>
        <w:tc>
          <w:tcPr>
            <w:tcW w:w="3348" w:type="dxa"/>
          </w:tcPr>
          <w:p w14:paraId="13A64952" w14:textId="77777777" w:rsidR="005A10D3" w:rsidRPr="00A62C4A" w:rsidRDefault="005A10D3" w:rsidP="005A10D3">
            <w:pPr>
              <w:rPr>
                <w:rFonts w:ascii="Calibri" w:hAnsi="Calibri" w:cs="Times New Roman"/>
                <w:b/>
                <w:bCs/>
                <w:sz w:val="20"/>
                <w:szCs w:val="20"/>
              </w:rPr>
            </w:pPr>
            <w:r w:rsidRPr="00A62C4A">
              <w:rPr>
                <w:rFonts w:ascii="Calibri" w:hAnsi="Calibri" w:cs="Times New Roman"/>
                <w:b/>
                <w:bCs/>
                <w:sz w:val="20"/>
                <w:szCs w:val="20"/>
              </w:rPr>
              <w:t>Schedule of Implementation</w:t>
            </w:r>
          </w:p>
        </w:tc>
        <w:tc>
          <w:tcPr>
            <w:tcW w:w="6228" w:type="dxa"/>
          </w:tcPr>
          <w:p w14:paraId="6D577992" w14:textId="77777777" w:rsidR="005A10D3" w:rsidRPr="00A62C4A" w:rsidRDefault="005A10D3" w:rsidP="005A10D3">
            <w:pPr>
              <w:rPr>
                <w:rFonts w:ascii="Calibri" w:hAnsi="Calibri" w:cs="Times New Roman"/>
                <w:color w:val="000000"/>
                <w:sz w:val="20"/>
                <w:szCs w:val="20"/>
              </w:rPr>
            </w:pPr>
            <w:r w:rsidRPr="00A62C4A">
              <w:rPr>
                <w:rFonts w:ascii="Calibri" w:hAnsi="Calibri" w:cs="Times New Roman"/>
                <w:color w:val="000000"/>
                <w:sz w:val="20"/>
                <w:szCs w:val="20"/>
              </w:rPr>
              <w:t>As resources are available, the implementation of this activity will begin immediately and will continue for the entire implementation process</w:t>
            </w:r>
          </w:p>
          <w:p w14:paraId="4FDFCB60" w14:textId="77777777" w:rsidR="005A10D3" w:rsidRPr="00A62C4A" w:rsidRDefault="005A10D3" w:rsidP="005A10D3">
            <w:pPr>
              <w:rPr>
                <w:rFonts w:ascii="Calibri" w:hAnsi="Calibri" w:cs="Times New Roman"/>
                <w:sz w:val="20"/>
                <w:szCs w:val="20"/>
              </w:rPr>
            </w:pPr>
          </w:p>
        </w:tc>
      </w:tr>
      <w:tr w:rsidR="005A10D3" w:rsidRPr="005A10D3" w14:paraId="18649DB6" w14:textId="77777777" w:rsidTr="00674778">
        <w:trPr>
          <w:cantSplit/>
        </w:trPr>
        <w:tc>
          <w:tcPr>
            <w:tcW w:w="3348" w:type="dxa"/>
          </w:tcPr>
          <w:p w14:paraId="66254F26" w14:textId="77777777" w:rsidR="005A10D3" w:rsidRPr="00A62C4A" w:rsidRDefault="005A10D3" w:rsidP="005A10D3">
            <w:pPr>
              <w:rPr>
                <w:rFonts w:ascii="Calibri" w:hAnsi="Calibri" w:cs="Times New Roman"/>
                <w:b/>
                <w:bCs/>
                <w:sz w:val="20"/>
                <w:szCs w:val="20"/>
              </w:rPr>
            </w:pPr>
            <w:r w:rsidRPr="00A62C4A">
              <w:rPr>
                <w:rFonts w:ascii="Calibri" w:hAnsi="Calibri" w:cs="Times New Roman"/>
                <w:b/>
                <w:bCs/>
                <w:sz w:val="20"/>
                <w:szCs w:val="20"/>
              </w:rPr>
              <w:t>Interim, Measurable Milestone</w:t>
            </w:r>
          </w:p>
        </w:tc>
        <w:tc>
          <w:tcPr>
            <w:tcW w:w="6228" w:type="dxa"/>
          </w:tcPr>
          <w:p w14:paraId="405A4131" w14:textId="77777777" w:rsidR="005A10D3" w:rsidRPr="00A62C4A" w:rsidRDefault="005A10D3" w:rsidP="005A10D3">
            <w:pPr>
              <w:rPr>
                <w:rFonts w:ascii="Calibri" w:hAnsi="Calibri" w:cs="Times New Roman"/>
                <w:color w:val="000000"/>
                <w:sz w:val="20"/>
                <w:szCs w:val="20"/>
              </w:rPr>
            </w:pPr>
            <w:r w:rsidRPr="00A62C4A">
              <w:rPr>
                <w:rFonts w:ascii="Calibri" w:hAnsi="Calibri" w:cs="Times New Roman"/>
                <w:color w:val="000000"/>
                <w:sz w:val="20"/>
                <w:szCs w:val="20"/>
              </w:rPr>
              <w:t>Collective analysis of monitoring data</w:t>
            </w:r>
          </w:p>
          <w:p w14:paraId="6183CD37" w14:textId="77777777" w:rsidR="005A10D3" w:rsidRPr="00A62C4A" w:rsidRDefault="005A10D3" w:rsidP="005A10D3">
            <w:pPr>
              <w:rPr>
                <w:rFonts w:ascii="Calibri" w:hAnsi="Calibri" w:cs="Times New Roman"/>
                <w:sz w:val="20"/>
                <w:szCs w:val="20"/>
              </w:rPr>
            </w:pPr>
          </w:p>
        </w:tc>
      </w:tr>
      <w:tr w:rsidR="005A10D3" w:rsidRPr="005A10D3" w14:paraId="2803BB9D" w14:textId="77777777" w:rsidTr="00674778">
        <w:trPr>
          <w:cantSplit/>
        </w:trPr>
        <w:tc>
          <w:tcPr>
            <w:tcW w:w="3348" w:type="dxa"/>
          </w:tcPr>
          <w:p w14:paraId="670303B7" w14:textId="77777777" w:rsidR="005A10D3" w:rsidRPr="00A62C4A" w:rsidRDefault="005A10D3" w:rsidP="005A10D3">
            <w:pPr>
              <w:rPr>
                <w:rFonts w:ascii="Calibri" w:hAnsi="Calibri" w:cs="Times New Roman"/>
                <w:b/>
                <w:bCs/>
                <w:sz w:val="20"/>
                <w:szCs w:val="20"/>
              </w:rPr>
            </w:pPr>
            <w:r w:rsidRPr="00A62C4A">
              <w:rPr>
                <w:rFonts w:ascii="Calibri" w:hAnsi="Calibri" w:cs="Times New Roman"/>
                <w:b/>
                <w:bCs/>
                <w:sz w:val="20"/>
                <w:szCs w:val="20"/>
              </w:rPr>
              <w:t>Progress Indicators</w:t>
            </w:r>
          </w:p>
        </w:tc>
        <w:tc>
          <w:tcPr>
            <w:tcW w:w="6228" w:type="dxa"/>
          </w:tcPr>
          <w:p w14:paraId="79B270F3" w14:textId="77777777" w:rsidR="005A10D3" w:rsidRPr="00A62C4A" w:rsidRDefault="005A10D3" w:rsidP="005A10D3">
            <w:pPr>
              <w:rPr>
                <w:rFonts w:ascii="Calibri" w:hAnsi="Calibri" w:cs="Times New Roman"/>
                <w:sz w:val="20"/>
                <w:szCs w:val="20"/>
              </w:rPr>
            </w:pPr>
            <w:r w:rsidRPr="00A62C4A">
              <w:rPr>
                <w:rFonts w:ascii="Calibri" w:hAnsi="Calibri" w:cs="Times New Roman"/>
                <w:color w:val="000000"/>
                <w:sz w:val="20"/>
                <w:szCs w:val="20"/>
              </w:rPr>
              <w:t>Number of results analyzed</w:t>
            </w:r>
            <w:r w:rsidRPr="00A62C4A">
              <w:rPr>
                <w:rFonts w:ascii="Calibri" w:hAnsi="Calibri" w:cs="Times New Roman"/>
                <w:color w:val="000000"/>
                <w:sz w:val="20"/>
                <w:szCs w:val="20"/>
              </w:rPr>
              <w:br/>
            </w:r>
            <w:r w:rsidRPr="00A62C4A">
              <w:rPr>
                <w:rFonts w:ascii="Calibri" w:hAnsi="Calibri" w:cs="Times New Roman"/>
                <w:color w:val="000000"/>
                <w:sz w:val="20"/>
                <w:szCs w:val="20"/>
              </w:rPr>
              <w:br/>
            </w:r>
            <w:r w:rsidRPr="00A62C4A">
              <w:rPr>
                <w:rFonts w:ascii="Calibri" w:hAnsi="Calibri" w:cs="Times New Roman"/>
                <w:sz w:val="20"/>
                <w:szCs w:val="20"/>
              </w:rPr>
              <w:t>Ability to compare results to efficacy of BMPs</w:t>
            </w:r>
          </w:p>
          <w:p w14:paraId="4DA40294" w14:textId="77777777" w:rsidR="005A10D3" w:rsidRPr="00A62C4A" w:rsidRDefault="005A10D3" w:rsidP="005A10D3">
            <w:pPr>
              <w:rPr>
                <w:rFonts w:ascii="Calibri" w:hAnsi="Calibri" w:cs="Times New Roman"/>
                <w:sz w:val="20"/>
                <w:szCs w:val="20"/>
              </w:rPr>
            </w:pPr>
          </w:p>
        </w:tc>
      </w:tr>
      <w:tr w:rsidR="005A10D3" w:rsidRPr="005A10D3" w14:paraId="44E76DB9" w14:textId="77777777" w:rsidTr="00674778">
        <w:trPr>
          <w:cantSplit/>
        </w:trPr>
        <w:tc>
          <w:tcPr>
            <w:tcW w:w="3348" w:type="dxa"/>
          </w:tcPr>
          <w:p w14:paraId="32413354" w14:textId="77777777" w:rsidR="005A10D3" w:rsidRPr="00A62C4A" w:rsidRDefault="005A10D3" w:rsidP="005A10D3">
            <w:pPr>
              <w:rPr>
                <w:rFonts w:ascii="Calibri" w:hAnsi="Calibri" w:cs="Times New Roman"/>
                <w:b/>
                <w:bCs/>
                <w:sz w:val="20"/>
                <w:szCs w:val="20"/>
              </w:rPr>
            </w:pPr>
            <w:r w:rsidRPr="00A62C4A">
              <w:rPr>
                <w:rFonts w:ascii="Calibri" w:hAnsi="Calibri" w:cs="Times New Roman"/>
                <w:b/>
                <w:bCs/>
                <w:sz w:val="20"/>
                <w:szCs w:val="20"/>
              </w:rPr>
              <w:t>Monitoring Component</w:t>
            </w:r>
          </w:p>
        </w:tc>
        <w:tc>
          <w:tcPr>
            <w:tcW w:w="6228" w:type="dxa"/>
          </w:tcPr>
          <w:p w14:paraId="0A5AE753" w14:textId="77777777" w:rsidR="005A10D3" w:rsidRPr="00A62C4A" w:rsidRDefault="005A10D3" w:rsidP="005A10D3">
            <w:pPr>
              <w:rPr>
                <w:rFonts w:ascii="Calibri" w:hAnsi="Calibri" w:cs="Times New Roman"/>
                <w:color w:val="000000"/>
                <w:sz w:val="20"/>
                <w:szCs w:val="20"/>
              </w:rPr>
            </w:pPr>
            <w:r w:rsidRPr="00A62C4A">
              <w:rPr>
                <w:rFonts w:ascii="Calibri" w:hAnsi="Calibri" w:cs="Times New Roman"/>
                <w:color w:val="000000"/>
                <w:sz w:val="20"/>
                <w:szCs w:val="20"/>
              </w:rPr>
              <w:t>Monitoring Coordination technical subcommittee will report analytical results to NCTCOG</w:t>
            </w:r>
          </w:p>
          <w:p w14:paraId="5C690B68" w14:textId="77777777" w:rsidR="005A10D3" w:rsidRPr="00A62C4A" w:rsidRDefault="005A10D3" w:rsidP="005A10D3">
            <w:pPr>
              <w:rPr>
                <w:rFonts w:ascii="Calibri" w:hAnsi="Calibri" w:cs="Times New Roman"/>
                <w:sz w:val="20"/>
                <w:szCs w:val="20"/>
              </w:rPr>
            </w:pPr>
          </w:p>
        </w:tc>
      </w:tr>
      <w:tr w:rsidR="005A10D3" w:rsidRPr="005A10D3" w14:paraId="7697DA58" w14:textId="77777777" w:rsidTr="00674778">
        <w:trPr>
          <w:cantSplit/>
        </w:trPr>
        <w:tc>
          <w:tcPr>
            <w:tcW w:w="3348" w:type="dxa"/>
          </w:tcPr>
          <w:p w14:paraId="7D691CFB" w14:textId="77777777" w:rsidR="005A10D3" w:rsidRPr="00A62C4A" w:rsidRDefault="005A10D3" w:rsidP="005A10D3">
            <w:pPr>
              <w:rPr>
                <w:rFonts w:ascii="Calibri" w:hAnsi="Calibri" w:cs="Times New Roman"/>
                <w:b/>
                <w:bCs/>
                <w:sz w:val="20"/>
                <w:szCs w:val="20"/>
              </w:rPr>
            </w:pPr>
            <w:r w:rsidRPr="00A62C4A">
              <w:rPr>
                <w:rFonts w:ascii="Calibri" w:hAnsi="Calibri" w:cs="Times New Roman"/>
                <w:b/>
                <w:bCs/>
                <w:sz w:val="20"/>
                <w:szCs w:val="20"/>
              </w:rPr>
              <w:t>Responsible Entity</w:t>
            </w:r>
          </w:p>
        </w:tc>
        <w:tc>
          <w:tcPr>
            <w:tcW w:w="6228" w:type="dxa"/>
          </w:tcPr>
          <w:p w14:paraId="4489D407" w14:textId="77777777" w:rsidR="005A10D3" w:rsidRPr="00A62C4A" w:rsidRDefault="005A10D3" w:rsidP="005A10D3">
            <w:pPr>
              <w:rPr>
                <w:rFonts w:ascii="Calibri" w:hAnsi="Calibri" w:cs="Times New Roman"/>
                <w:sz w:val="20"/>
                <w:szCs w:val="20"/>
              </w:rPr>
            </w:pPr>
            <w:r w:rsidRPr="00A62C4A">
              <w:rPr>
                <w:rFonts w:ascii="Calibri" w:hAnsi="Calibri" w:cs="Times New Roman"/>
                <w:color w:val="000000"/>
                <w:sz w:val="20"/>
                <w:szCs w:val="20"/>
              </w:rPr>
              <w:t>Monitoring Coordination Forum will collectively analyze data to determine efficacy of implementation strategies</w:t>
            </w:r>
            <w:r w:rsidRPr="00A62C4A">
              <w:rPr>
                <w:rFonts w:ascii="Calibri" w:hAnsi="Calibri" w:cs="Times New Roman"/>
                <w:color w:val="000000"/>
                <w:sz w:val="20"/>
                <w:szCs w:val="20"/>
              </w:rPr>
              <w:br/>
            </w:r>
            <w:r w:rsidRPr="00A62C4A">
              <w:rPr>
                <w:rFonts w:ascii="Calibri" w:hAnsi="Calibri" w:cs="Times New Roman"/>
                <w:color w:val="000000"/>
                <w:sz w:val="20"/>
                <w:szCs w:val="20"/>
              </w:rPr>
              <w:br/>
              <w:t>NCTCOG will compile results into a report for the Coordination Committee</w:t>
            </w:r>
          </w:p>
        </w:tc>
      </w:tr>
    </w:tbl>
    <w:p w14:paraId="3AA05EF3" w14:textId="77777777" w:rsidR="005A10D3" w:rsidRPr="005A10D3" w:rsidRDefault="005A10D3" w:rsidP="005A10D3">
      <w:pPr>
        <w:spacing w:after="200" w:line="276" w:lineRule="auto"/>
        <w:rPr>
          <w:rFonts w:ascii="Calibri" w:eastAsia="Times New Roman" w:hAnsi="Calibri" w:cs="Times New Roman"/>
          <w:kern w:val="0"/>
          <w:sz w:val="22"/>
          <w:szCs w:val="22"/>
          <w14:ligatures w14:val="none"/>
        </w:rPr>
      </w:pPr>
      <w:r w:rsidRPr="005A10D3">
        <w:rPr>
          <w:rFonts w:ascii="Calibri" w:eastAsia="Times New Roman" w:hAnsi="Calibri" w:cs="Times New Roman"/>
          <w:kern w:val="0"/>
          <w:sz w:val="22"/>
          <w:szCs w:val="22"/>
          <w14:ligatures w14:val="none"/>
        </w:rPr>
        <w:br w:type="page"/>
      </w:r>
    </w:p>
    <w:p w14:paraId="35676938" w14:textId="77777777" w:rsidR="005A10D3" w:rsidRPr="005A10D3" w:rsidRDefault="005A10D3" w:rsidP="005A10D3">
      <w:pPr>
        <w:keepNext/>
        <w:keepLines/>
        <w:spacing w:before="200" w:after="200" w:line="276" w:lineRule="auto"/>
        <w:outlineLvl w:val="1"/>
        <w:rPr>
          <w:rFonts w:ascii="Calibri" w:eastAsia="Times New Roman" w:hAnsi="Calibri" w:cs="Times New Roman"/>
          <w:b/>
          <w:bCs/>
          <w:kern w:val="0"/>
          <w:sz w:val="26"/>
          <w:szCs w:val="26"/>
          <w14:ligatures w14:val="none"/>
        </w:rPr>
      </w:pPr>
      <w:bookmarkStart w:id="6" w:name="_Toc44588165"/>
      <w:r w:rsidRPr="005A10D3">
        <w:rPr>
          <w:rFonts w:ascii="Calibri" w:eastAsia="Times New Roman" w:hAnsi="Calibri" w:cs="Times New Roman"/>
          <w:b/>
          <w:bCs/>
          <w:kern w:val="0"/>
          <w:sz w:val="26"/>
          <w:szCs w:val="26"/>
          <w14:ligatures w14:val="none"/>
        </w:rPr>
        <w:lastRenderedPageBreak/>
        <w:t>Implementation Strategy 6.1:  Monitoring coordination forum</w:t>
      </w:r>
      <w:bookmarkEnd w:id="6"/>
    </w:p>
    <w:p w14:paraId="5B3C541F" w14:textId="77777777" w:rsidR="005A10D3" w:rsidRPr="005A10D3" w:rsidRDefault="005A10D3" w:rsidP="005A10D3">
      <w:pPr>
        <w:spacing w:after="220" w:line="240" w:lineRule="auto"/>
        <w:rPr>
          <w:rFonts w:ascii="Calibri" w:eastAsia="Times New Roman" w:hAnsi="Calibri" w:cs="Times New Roman"/>
          <w:kern w:val="0"/>
          <w:sz w:val="22"/>
          <w14:ligatures w14:val="none"/>
        </w:rPr>
      </w:pPr>
      <w:r w:rsidRPr="005A10D3">
        <w:rPr>
          <w:rFonts w:ascii="Calibri" w:eastAsia="Times New Roman" w:hAnsi="Calibri" w:cs="Times New Roman"/>
          <w:kern w:val="0"/>
          <w:sz w:val="22"/>
          <w14:ligatures w14:val="none"/>
        </w:rPr>
        <w:t>A coordinated, regional approach to monitoring and data analysis is a key component of this implementation strategy. As resources are available, NCTCOG will facilitate a forum of monitoring participants, including those involved with CRP, RWWCP, IDDE, wastewater treatment effluent monitoring, and the Texas Stream Team. The schedule for forum meetings will be determined by forum participants, although meetings will take place at least annually. Table 44 details the strategies for the monitoring coordination forum.</w:t>
      </w:r>
    </w:p>
    <w:p w14:paraId="34740DBE" w14:textId="77777777" w:rsidR="005A10D3" w:rsidRPr="005A10D3" w:rsidRDefault="005A10D3" w:rsidP="005A10D3">
      <w:pPr>
        <w:keepNext/>
        <w:keepLines/>
        <w:spacing w:before="200" w:after="200" w:line="276" w:lineRule="auto"/>
        <w:outlineLvl w:val="2"/>
        <w:rPr>
          <w:rFonts w:ascii="Calibri" w:eastAsia="Times New Roman" w:hAnsi="Calibri" w:cs="Times New Roman"/>
          <w:b/>
          <w:bCs/>
          <w:kern w:val="0"/>
          <w:sz w:val="22"/>
          <w:szCs w:val="22"/>
          <w14:ligatures w14:val="none"/>
        </w:rPr>
      </w:pPr>
      <w:bookmarkStart w:id="7" w:name="_Toc44588166"/>
      <w:r w:rsidRPr="005A10D3">
        <w:rPr>
          <w:rFonts w:ascii="Calibri" w:eastAsia="Times New Roman" w:hAnsi="Calibri" w:cs="Times New Roman"/>
          <w:b/>
          <w:bCs/>
          <w:kern w:val="0"/>
          <w:sz w:val="22"/>
          <w:szCs w:val="22"/>
          <w14:ligatures w14:val="none"/>
        </w:rPr>
        <w:t xml:space="preserve">6.1.1:  Existing </w:t>
      </w:r>
      <w:r w:rsidRPr="005A10D3">
        <w:rPr>
          <w:rFonts w:ascii="Calibri" w:eastAsia="Times New Roman" w:hAnsi="Calibri" w:cs="Times New Roman"/>
          <w:b/>
          <w:bCs/>
          <w:i/>
          <w:kern w:val="0"/>
          <w:sz w:val="22"/>
          <w:szCs w:val="22"/>
          <w14:ligatures w14:val="none"/>
        </w:rPr>
        <w:t>E. coli</w:t>
      </w:r>
      <w:r w:rsidRPr="005A10D3">
        <w:rPr>
          <w:rFonts w:ascii="Calibri" w:eastAsia="Times New Roman" w:hAnsi="Calibri" w:cs="Times New Roman"/>
          <w:b/>
          <w:bCs/>
          <w:kern w:val="0"/>
          <w:sz w:val="22"/>
          <w:szCs w:val="22"/>
          <w14:ligatures w14:val="none"/>
        </w:rPr>
        <w:t xml:space="preserve"> monitoring network evaluation</w:t>
      </w:r>
      <w:bookmarkEnd w:id="7"/>
    </w:p>
    <w:p w14:paraId="633FFBC0" w14:textId="77777777" w:rsidR="005A10D3" w:rsidRPr="005A10D3" w:rsidRDefault="005A10D3" w:rsidP="005A10D3">
      <w:pPr>
        <w:spacing w:after="220" w:line="240" w:lineRule="auto"/>
        <w:ind w:left="360"/>
        <w:rPr>
          <w:rFonts w:ascii="Calibri" w:eastAsia="Times New Roman" w:hAnsi="Calibri" w:cs="Times New Roman"/>
          <w:kern w:val="0"/>
          <w:sz w:val="22"/>
          <w:szCs w:val="22"/>
          <w14:ligatures w14:val="none"/>
        </w:rPr>
      </w:pPr>
      <w:r w:rsidRPr="005A10D3">
        <w:rPr>
          <w:rFonts w:ascii="Calibri" w:eastAsia="Times New Roman" w:hAnsi="Calibri" w:cs="Times New Roman"/>
          <w:kern w:val="0"/>
          <w:sz w:val="22"/>
          <w:szCs w:val="22"/>
          <w14:ligatures w14:val="none"/>
        </w:rPr>
        <w:t xml:space="preserve">As part of the monitoring forum, the stakeholders will evaluate the existing </w:t>
      </w:r>
      <w:r w:rsidRPr="005A10D3">
        <w:rPr>
          <w:rFonts w:ascii="Calibri" w:eastAsia="Times New Roman" w:hAnsi="Calibri" w:cs="Times New Roman"/>
          <w:i/>
          <w:kern w:val="0"/>
          <w:sz w:val="22"/>
          <w:szCs w:val="22"/>
          <w14:ligatures w14:val="none"/>
        </w:rPr>
        <w:t xml:space="preserve">E. coli </w:t>
      </w:r>
      <w:r w:rsidRPr="005A10D3">
        <w:rPr>
          <w:rFonts w:ascii="Calibri" w:eastAsia="Times New Roman" w:hAnsi="Calibri" w:cs="Times New Roman"/>
          <w:kern w:val="0"/>
          <w:sz w:val="22"/>
          <w:szCs w:val="22"/>
          <w14:ligatures w14:val="none"/>
        </w:rPr>
        <w:t>monitoring network in the impaired subwatersheds and refine it based upon data gaps. Data considered may include CRP, RWWCP, IDDE monitoring, wastewater treatment facility effluent monitoring, and data collected by Texas Stream Team.</w:t>
      </w:r>
    </w:p>
    <w:p w14:paraId="28A9EAC4" w14:textId="77777777" w:rsidR="005A10D3" w:rsidRPr="005A10D3" w:rsidRDefault="005A10D3" w:rsidP="005A10D3">
      <w:pPr>
        <w:keepNext/>
        <w:keepLines/>
        <w:spacing w:before="200" w:after="200" w:line="276" w:lineRule="auto"/>
        <w:outlineLvl w:val="2"/>
        <w:rPr>
          <w:rFonts w:ascii="Calibri" w:eastAsia="Times New Roman" w:hAnsi="Calibri" w:cs="Times New Roman"/>
          <w:b/>
          <w:bCs/>
          <w:kern w:val="0"/>
          <w:sz w:val="22"/>
          <w:szCs w:val="22"/>
          <w14:ligatures w14:val="none"/>
        </w:rPr>
      </w:pPr>
      <w:bookmarkStart w:id="8" w:name="_Toc44588167"/>
      <w:r w:rsidRPr="005A10D3">
        <w:rPr>
          <w:rFonts w:ascii="Calibri" w:eastAsia="Times New Roman" w:hAnsi="Calibri" w:cs="Times New Roman"/>
          <w:b/>
          <w:bCs/>
          <w:kern w:val="0"/>
          <w:sz w:val="22"/>
          <w:szCs w:val="22"/>
          <w14:ligatures w14:val="none"/>
        </w:rPr>
        <w:t>6.1.2:  New source review for data</w:t>
      </w:r>
      <w:bookmarkEnd w:id="8"/>
    </w:p>
    <w:p w14:paraId="19A017E7" w14:textId="77777777" w:rsidR="005A10D3" w:rsidRPr="005A10D3" w:rsidRDefault="005A10D3" w:rsidP="005A10D3">
      <w:pPr>
        <w:spacing w:after="220" w:line="240" w:lineRule="auto"/>
        <w:ind w:left="360"/>
        <w:rPr>
          <w:rFonts w:ascii="Calibri" w:eastAsia="Times New Roman" w:hAnsi="Calibri" w:cs="Times New Roman"/>
          <w:kern w:val="0"/>
          <w:sz w:val="22"/>
          <w:szCs w:val="22"/>
          <w14:ligatures w14:val="none"/>
        </w:rPr>
      </w:pPr>
      <w:r w:rsidRPr="005A10D3">
        <w:rPr>
          <w:rFonts w:ascii="Calibri" w:eastAsia="Times New Roman" w:hAnsi="Calibri" w:cs="Times New Roman"/>
          <w:kern w:val="0"/>
          <w:sz w:val="22"/>
          <w:szCs w:val="22"/>
          <w14:ligatures w14:val="none"/>
        </w:rPr>
        <w:t>The monitoring forum will identify sources of data and existing monitoring which may not be appropriate for screening, for example monitoring data that are not collected under a QAPP or analyzed under a NELAP-accredited program, but that could be helpful in identifying bacteria sources.</w:t>
      </w:r>
    </w:p>
    <w:p w14:paraId="2DC1C353" w14:textId="77777777" w:rsidR="005A10D3" w:rsidRPr="005A10D3" w:rsidRDefault="005A10D3" w:rsidP="005A10D3">
      <w:pPr>
        <w:keepNext/>
        <w:keepLines/>
        <w:spacing w:before="200" w:after="200" w:line="276" w:lineRule="auto"/>
        <w:outlineLvl w:val="2"/>
        <w:rPr>
          <w:rFonts w:ascii="Calibri" w:eastAsia="Times New Roman" w:hAnsi="Calibri" w:cs="Times New Roman"/>
          <w:b/>
          <w:bCs/>
          <w:kern w:val="0"/>
          <w:sz w:val="22"/>
          <w:szCs w:val="22"/>
          <w14:ligatures w14:val="none"/>
        </w:rPr>
      </w:pPr>
      <w:bookmarkStart w:id="9" w:name="_Toc44588168"/>
      <w:r w:rsidRPr="005A10D3">
        <w:rPr>
          <w:rFonts w:ascii="Calibri" w:eastAsia="Times New Roman" w:hAnsi="Calibri" w:cs="Times New Roman"/>
          <w:b/>
          <w:bCs/>
          <w:kern w:val="0"/>
          <w:sz w:val="22"/>
          <w:szCs w:val="22"/>
          <w14:ligatures w14:val="none"/>
        </w:rPr>
        <w:t>6.1.3:  Data assessment of overall trends for BMP efficacy</w:t>
      </w:r>
      <w:bookmarkEnd w:id="9"/>
    </w:p>
    <w:p w14:paraId="7D6F08C9" w14:textId="77777777" w:rsidR="005A10D3" w:rsidRPr="005A10D3" w:rsidRDefault="005A10D3" w:rsidP="005A10D3">
      <w:pPr>
        <w:spacing w:after="220" w:line="240" w:lineRule="auto"/>
        <w:ind w:left="360"/>
        <w:rPr>
          <w:rFonts w:ascii="Calibri" w:eastAsia="Times New Roman" w:hAnsi="Calibri" w:cs="Times New Roman"/>
          <w:kern w:val="0"/>
          <w:sz w:val="22"/>
          <w:szCs w:val="22"/>
          <w14:ligatures w14:val="none"/>
        </w:rPr>
      </w:pPr>
      <w:r w:rsidRPr="005A10D3">
        <w:rPr>
          <w:rFonts w:ascii="Calibri" w:eastAsia="Times New Roman" w:hAnsi="Calibri" w:cs="Times New Roman"/>
          <w:kern w:val="0"/>
          <w:sz w:val="22"/>
          <w:szCs w:val="22"/>
          <w14:ligatures w14:val="none"/>
        </w:rPr>
        <w:t>As monitoring results become available, the forum participants will evaluate CRP and RWWCP data to assess overall trends in water quality within the impaired water segments in the Greater Trinity River basin. These analyses may be used to determine efficacy of BMPs, overall improvement or degradation within the applicable sub-basins, and the potential need to implement additional BMPs. Data analysis results will be shared with the Coordination Committee annually.</w:t>
      </w:r>
    </w:p>
    <w:p w14:paraId="27B10BB8" w14:textId="77777777" w:rsidR="005A10D3" w:rsidRPr="005A10D3" w:rsidRDefault="005A10D3" w:rsidP="005A10D3">
      <w:pPr>
        <w:keepNext/>
        <w:keepLines/>
        <w:spacing w:before="200" w:after="200" w:line="276" w:lineRule="auto"/>
        <w:outlineLvl w:val="2"/>
        <w:rPr>
          <w:rFonts w:ascii="Calibri" w:eastAsia="Times New Roman" w:hAnsi="Calibri" w:cs="Times New Roman"/>
          <w:b/>
          <w:bCs/>
          <w:kern w:val="0"/>
          <w:sz w:val="22"/>
          <w:szCs w:val="22"/>
          <w14:ligatures w14:val="none"/>
        </w:rPr>
      </w:pPr>
      <w:bookmarkStart w:id="10" w:name="_Toc44588169"/>
      <w:r w:rsidRPr="005A10D3">
        <w:rPr>
          <w:rFonts w:ascii="Calibri" w:eastAsia="Times New Roman" w:hAnsi="Calibri" w:cs="Times New Roman"/>
          <w:b/>
          <w:bCs/>
          <w:kern w:val="0"/>
          <w:sz w:val="22"/>
          <w:szCs w:val="22"/>
          <w14:ligatures w14:val="none"/>
        </w:rPr>
        <w:t>6.1.4:  Funding in relation to gaps in sampling data</w:t>
      </w:r>
      <w:bookmarkEnd w:id="10"/>
    </w:p>
    <w:p w14:paraId="4E1B5FB2" w14:textId="77777777" w:rsidR="005A10D3" w:rsidRPr="005A10D3" w:rsidRDefault="005A10D3" w:rsidP="005A10D3">
      <w:pPr>
        <w:spacing w:after="220" w:line="240" w:lineRule="auto"/>
        <w:ind w:left="360"/>
        <w:rPr>
          <w:rFonts w:ascii="Calibri" w:eastAsia="Times New Roman" w:hAnsi="Calibri" w:cs="Times New Roman"/>
          <w:kern w:val="0"/>
          <w:sz w:val="22"/>
          <w:szCs w:val="22"/>
          <w14:ligatures w14:val="none"/>
        </w:rPr>
      </w:pPr>
      <w:r w:rsidRPr="005A10D3">
        <w:rPr>
          <w:rFonts w:ascii="Calibri" w:eastAsia="Times New Roman" w:hAnsi="Calibri" w:cs="Times New Roman"/>
          <w:kern w:val="0"/>
          <w:sz w:val="22"/>
          <w:szCs w:val="22"/>
          <w14:ligatures w14:val="none"/>
        </w:rPr>
        <w:t xml:space="preserve">Monitoring forum participants, including TRA, may work with TCEQ to address available funding in response to gaps in sampling data. </w:t>
      </w:r>
    </w:p>
    <w:p w14:paraId="0B32FEF1" w14:textId="77777777" w:rsidR="005A10D3" w:rsidRPr="005A10D3" w:rsidRDefault="005A10D3" w:rsidP="005A10D3">
      <w:pPr>
        <w:keepNext/>
        <w:keepLines/>
        <w:spacing w:before="200" w:after="200" w:line="276" w:lineRule="auto"/>
        <w:outlineLvl w:val="2"/>
        <w:rPr>
          <w:rFonts w:ascii="Calibri" w:eastAsia="Times New Roman" w:hAnsi="Calibri" w:cs="Times New Roman"/>
          <w:b/>
          <w:bCs/>
          <w:kern w:val="0"/>
          <w:sz w:val="22"/>
          <w:szCs w:val="22"/>
          <w14:ligatures w14:val="none"/>
        </w:rPr>
      </w:pPr>
      <w:bookmarkStart w:id="11" w:name="_Toc44588170"/>
      <w:r w:rsidRPr="005A10D3">
        <w:rPr>
          <w:rFonts w:ascii="Calibri" w:eastAsia="Times New Roman" w:hAnsi="Calibri" w:cs="Times New Roman"/>
          <w:b/>
          <w:bCs/>
          <w:kern w:val="0"/>
          <w:sz w:val="22"/>
          <w:szCs w:val="22"/>
          <w14:ligatures w14:val="none"/>
        </w:rPr>
        <w:t>6.1.5:  Reevaluating monitoring technologies for pilot projects and/or research partnerships</w:t>
      </w:r>
      <w:bookmarkEnd w:id="11"/>
    </w:p>
    <w:p w14:paraId="3E6B1DC5" w14:textId="77777777" w:rsidR="005A10D3" w:rsidRPr="005A10D3" w:rsidRDefault="005A10D3" w:rsidP="005A10D3">
      <w:pPr>
        <w:spacing w:after="220" w:line="240" w:lineRule="auto"/>
        <w:ind w:left="360"/>
        <w:rPr>
          <w:rFonts w:ascii="Calibri" w:eastAsia="Times New Roman" w:hAnsi="Calibri" w:cs="Times New Roman"/>
          <w:kern w:val="0"/>
          <w:sz w:val="22"/>
          <w:szCs w:val="22"/>
          <w14:ligatures w14:val="none"/>
        </w:rPr>
      </w:pPr>
      <w:r w:rsidRPr="005A10D3">
        <w:rPr>
          <w:rFonts w:ascii="Calibri" w:eastAsia="Times New Roman" w:hAnsi="Calibri" w:cs="Times New Roman"/>
          <w:kern w:val="0"/>
          <w:sz w:val="22"/>
          <w:szCs w:val="22"/>
          <w14:ligatures w14:val="none"/>
        </w:rPr>
        <w:t>Monitoring forum participants will continue to reevaluate monitoring technologies, such as surrogate testing, no less than every five years for use in pilot projects or partnerships with researchers in local universities.</w:t>
      </w:r>
    </w:p>
    <w:p w14:paraId="2E61ED94" w14:textId="77777777" w:rsidR="005A10D3" w:rsidRPr="005A10D3" w:rsidRDefault="005A10D3" w:rsidP="005A10D3">
      <w:pPr>
        <w:keepNext/>
        <w:keepLines/>
        <w:spacing w:before="200" w:after="200" w:line="276" w:lineRule="auto"/>
        <w:outlineLvl w:val="2"/>
        <w:rPr>
          <w:rFonts w:ascii="Calibri" w:eastAsia="Times New Roman" w:hAnsi="Calibri" w:cs="Times New Roman"/>
          <w:b/>
          <w:bCs/>
          <w:kern w:val="0"/>
          <w:sz w:val="22"/>
          <w:szCs w:val="22"/>
          <w14:ligatures w14:val="none"/>
        </w:rPr>
      </w:pPr>
      <w:bookmarkStart w:id="12" w:name="_Toc44588171"/>
      <w:r w:rsidRPr="005A10D3">
        <w:rPr>
          <w:rFonts w:ascii="Calibri" w:eastAsia="Times New Roman" w:hAnsi="Calibri" w:cs="Times New Roman"/>
          <w:b/>
          <w:bCs/>
          <w:kern w:val="0"/>
          <w:sz w:val="22"/>
          <w:szCs w:val="22"/>
          <w14:ligatures w14:val="none"/>
        </w:rPr>
        <w:t>6.1.6:  Evaluate need for online data consolidation and access</w:t>
      </w:r>
      <w:bookmarkEnd w:id="12"/>
    </w:p>
    <w:p w14:paraId="7DE40687" w14:textId="77777777" w:rsidR="005A10D3" w:rsidRPr="005A10D3" w:rsidRDefault="005A10D3" w:rsidP="005A10D3">
      <w:pPr>
        <w:spacing w:after="220" w:line="240" w:lineRule="auto"/>
        <w:ind w:left="360"/>
        <w:rPr>
          <w:rFonts w:ascii="Calibri" w:eastAsia="Times New Roman" w:hAnsi="Calibri" w:cs="Times New Roman"/>
          <w:kern w:val="0"/>
          <w:sz w:val="22"/>
          <w:szCs w:val="22"/>
          <w14:ligatures w14:val="none"/>
        </w:rPr>
      </w:pPr>
      <w:r w:rsidRPr="005A10D3">
        <w:rPr>
          <w:rFonts w:ascii="Calibri" w:eastAsia="Times New Roman" w:hAnsi="Calibri" w:cs="Times New Roman"/>
          <w:kern w:val="0"/>
          <w:sz w:val="22"/>
          <w:szCs w:val="22"/>
          <w14:ligatures w14:val="none"/>
        </w:rPr>
        <w:t>Accessing monitoring data online remains difficult for those without technical backgrounds in the monitoring field. Monitoring forum participants and the Coordination Committee will periodically evaluate the need for online data consolidation and access.</w:t>
      </w:r>
      <w:r w:rsidRPr="005A10D3">
        <w:rPr>
          <w:rFonts w:ascii="Calibri" w:eastAsia="Times New Roman" w:hAnsi="Calibri" w:cs="Times New Roman"/>
          <w:kern w:val="0"/>
          <w:sz w:val="22"/>
          <w:szCs w:val="22"/>
          <w14:ligatures w14:val="none"/>
        </w:rPr>
        <w:br w:type="page"/>
      </w:r>
    </w:p>
    <w:p w14:paraId="2FDB58FD" w14:textId="77777777" w:rsidR="005A10D3" w:rsidRPr="005A10D3" w:rsidRDefault="005A10D3" w:rsidP="005A10D3">
      <w:pPr>
        <w:spacing w:after="200" w:line="240" w:lineRule="auto"/>
        <w:rPr>
          <w:rFonts w:ascii="Calibri" w:eastAsia="Times New Roman" w:hAnsi="Calibri" w:cs="Times New Roman"/>
          <w:b/>
          <w:bCs/>
          <w:kern w:val="0"/>
          <w:sz w:val="22"/>
          <w:szCs w:val="22"/>
          <w14:ligatures w14:val="none"/>
        </w:rPr>
      </w:pPr>
      <w:bookmarkStart w:id="13" w:name="_Toc5875074"/>
      <w:r w:rsidRPr="005A10D3">
        <w:rPr>
          <w:rFonts w:ascii="Calibri" w:eastAsia="Times New Roman" w:hAnsi="Calibri" w:cs="Times New Roman"/>
          <w:b/>
          <w:bCs/>
          <w:kern w:val="0"/>
          <w:sz w:val="22"/>
          <w:szCs w:val="22"/>
          <w14:ligatures w14:val="none"/>
        </w:rPr>
        <w:lastRenderedPageBreak/>
        <w:t xml:space="preserve">Table </w:t>
      </w:r>
      <w:r w:rsidRPr="005A10D3">
        <w:rPr>
          <w:rFonts w:ascii="Calibri" w:eastAsia="Times New Roman" w:hAnsi="Calibri" w:cs="Times New Roman"/>
          <w:b/>
          <w:bCs/>
          <w:noProof/>
          <w:kern w:val="0"/>
          <w:sz w:val="22"/>
          <w:szCs w:val="22"/>
          <w14:ligatures w14:val="none"/>
        </w:rPr>
        <w:fldChar w:fldCharType="begin"/>
      </w:r>
      <w:r w:rsidRPr="005A10D3">
        <w:rPr>
          <w:rFonts w:ascii="Calibri" w:eastAsia="Times New Roman" w:hAnsi="Calibri" w:cs="Times New Roman"/>
          <w:b/>
          <w:bCs/>
          <w:noProof/>
          <w:kern w:val="0"/>
          <w:sz w:val="22"/>
          <w:szCs w:val="22"/>
          <w14:ligatures w14:val="none"/>
        </w:rPr>
        <w:instrText xml:space="preserve"> SEQ Table \* ARABIC </w:instrText>
      </w:r>
      <w:r w:rsidRPr="005A10D3">
        <w:rPr>
          <w:rFonts w:ascii="Calibri" w:eastAsia="Times New Roman" w:hAnsi="Calibri" w:cs="Times New Roman"/>
          <w:b/>
          <w:bCs/>
          <w:noProof/>
          <w:kern w:val="0"/>
          <w:sz w:val="22"/>
          <w:szCs w:val="22"/>
          <w14:ligatures w14:val="none"/>
        </w:rPr>
        <w:fldChar w:fldCharType="separate"/>
      </w:r>
      <w:r w:rsidRPr="005A10D3">
        <w:rPr>
          <w:rFonts w:ascii="Calibri" w:eastAsia="Times New Roman" w:hAnsi="Calibri" w:cs="Times New Roman"/>
          <w:b/>
          <w:bCs/>
          <w:noProof/>
          <w:kern w:val="0"/>
          <w:sz w:val="22"/>
          <w:szCs w:val="22"/>
          <w14:ligatures w14:val="none"/>
        </w:rPr>
        <w:t>44</w:t>
      </w:r>
      <w:r w:rsidRPr="005A10D3">
        <w:rPr>
          <w:rFonts w:ascii="Calibri" w:eastAsia="Times New Roman" w:hAnsi="Calibri" w:cs="Times New Roman"/>
          <w:b/>
          <w:bCs/>
          <w:noProof/>
          <w:kern w:val="0"/>
          <w:sz w:val="22"/>
          <w:szCs w:val="22"/>
          <w14:ligatures w14:val="none"/>
        </w:rPr>
        <w:fldChar w:fldCharType="end"/>
      </w:r>
      <w:r w:rsidRPr="005A10D3">
        <w:rPr>
          <w:rFonts w:ascii="Calibri" w:eastAsia="Times New Roman" w:hAnsi="Calibri" w:cs="Times New Roman"/>
          <w:b/>
          <w:bCs/>
          <w:kern w:val="0"/>
          <w:sz w:val="22"/>
          <w:szCs w:val="22"/>
          <w14:ligatures w14:val="none"/>
        </w:rPr>
        <w:t xml:space="preserve">. Implementation Strategy 6.1 Summary </w:t>
      </w:r>
      <w:r w:rsidRPr="005A10D3">
        <w:rPr>
          <w:rFonts w:ascii="Georgia" w:eastAsia="Times New Roman" w:hAnsi="Georgia" w:cs="Times New Roman"/>
          <w:b/>
          <w:bCs/>
          <w:kern w:val="0"/>
          <w:sz w:val="22"/>
          <w:szCs w:val="22"/>
          <w14:ligatures w14:val="none"/>
        </w:rPr>
        <w:t>—</w:t>
      </w:r>
      <w:r w:rsidRPr="005A10D3">
        <w:rPr>
          <w:rFonts w:ascii="Calibri" w:eastAsia="Times New Roman" w:hAnsi="Calibri" w:cs="Times New Roman"/>
          <w:b/>
          <w:bCs/>
          <w:kern w:val="0"/>
          <w:sz w:val="22"/>
          <w:szCs w:val="22"/>
          <w14:ligatures w14:val="none"/>
        </w:rPr>
        <w:t xml:space="preserve"> Monitoring coordination forum</w:t>
      </w:r>
      <w:bookmarkEnd w:id="13"/>
    </w:p>
    <w:tbl>
      <w:tblPr>
        <w:tblStyle w:val="TableGrid"/>
        <w:tblW w:w="0" w:type="auto"/>
        <w:tblLook w:val="04A0" w:firstRow="1" w:lastRow="0" w:firstColumn="1" w:lastColumn="0" w:noHBand="0" w:noVBand="1"/>
        <w:tblCaption w:val="Table 40. Implementation Strategy 6.1 Summary — Monitoring coordination forum"/>
        <w:tblDescription w:val="A table summarizing Implementation Strategy 6.1 — Monitoring coordination forum."/>
      </w:tblPr>
      <w:tblGrid>
        <w:gridCol w:w="3286"/>
        <w:gridCol w:w="6064"/>
      </w:tblGrid>
      <w:tr w:rsidR="005A10D3" w:rsidRPr="005A10D3" w14:paraId="116FA578" w14:textId="77777777" w:rsidTr="00674778">
        <w:trPr>
          <w:cantSplit/>
        </w:trPr>
        <w:tc>
          <w:tcPr>
            <w:tcW w:w="3348" w:type="dxa"/>
          </w:tcPr>
          <w:p w14:paraId="0CF1A3C7" w14:textId="77777777" w:rsidR="005A10D3" w:rsidRPr="005A10D3" w:rsidRDefault="005A10D3" w:rsidP="005A10D3">
            <w:pPr>
              <w:rPr>
                <w:rFonts w:ascii="Calibri" w:hAnsi="Calibri" w:cs="Times New Roman"/>
                <w:b/>
                <w:bCs/>
                <w:sz w:val="20"/>
                <w:szCs w:val="20"/>
              </w:rPr>
            </w:pPr>
            <w:r w:rsidRPr="005A10D3">
              <w:rPr>
                <w:rFonts w:ascii="Calibri" w:hAnsi="Calibri" w:cs="Times New Roman"/>
                <w:b/>
                <w:bCs/>
                <w:sz w:val="20"/>
                <w:szCs w:val="20"/>
              </w:rPr>
              <w:t>Targeted Source(s)</w:t>
            </w:r>
          </w:p>
        </w:tc>
        <w:tc>
          <w:tcPr>
            <w:tcW w:w="6228" w:type="dxa"/>
          </w:tcPr>
          <w:p w14:paraId="2D24AFCF" w14:textId="77777777" w:rsidR="005A10D3" w:rsidRPr="005A10D3" w:rsidRDefault="005A10D3" w:rsidP="005A10D3">
            <w:pPr>
              <w:rPr>
                <w:rFonts w:ascii="Calibri" w:hAnsi="Calibri" w:cs="Times New Roman"/>
                <w:sz w:val="20"/>
                <w:szCs w:val="20"/>
              </w:rPr>
            </w:pPr>
            <w:r w:rsidRPr="005A10D3">
              <w:rPr>
                <w:rFonts w:ascii="Calibri" w:hAnsi="Calibri" w:cs="Times New Roman"/>
                <w:sz w:val="20"/>
                <w:szCs w:val="20"/>
              </w:rPr>
              <w:t>All potential sources</w:t>
            </w:r>
          </w:p>
          <w:p w14:paraId="7379599C" w14:textId="77777777" w:rsidR="005A10D3" w:rsidRPr="005A10D3" w:rsidRDefault="005A10D3" w:rsidP="005A10D3">
            <w:pPr>
              <w:rPr>
                <w:rFonts w:ascii="Calibri" w:hAnsi="Calibri" w:cs="Times New Roman"/>
                <w:sz w:val="20"/>
                <w:szCs w:val="20"/>
              </w:rPr>
            </w:pPr>
          </w:p>
        </w:tc>
      </w:tr>
      <w:tr w:rsidR="005A10D3" w:rsidRPr="005A10D3" w14:paraId="4F1CC3C4" w14:textId="77777777" w:rsidTr="00674778">
        <w:trPr>
          <w:cantSplit/>
        </w:trPr>
        <w:tc>
          <w:tcPr>
            <w:tcW w:w="3348" w:type="dxa"/>
          </w:tcPr>
          <w:p w14:paraId="032BA060" w14:textId="77777777" w:rsidR="005A10D3" w:rsidRPr="005A10D3" w:rsidRDefault="005A10D3" w:rsidP="005A10D3">
            <w:pPr>
              <w:rPr>
                <w:rFonts w:ascii="Calibri" w:hAnsi="Calibri" w:cs="Times New Roman"/>
                <w:b/>
                <w:bCs/>
                <w:sz w:val="20"/>
                <w:szCs w:val="20"/>
              </w:rPr>
            </w:pPr>
            <w:r w:rsidRPr="005A10D3">
              <w:rPr>
                <w:rFonts w:ascii="Calibri" w:hAnsi="Calibri" w:cs="Times New Roman"/>
                <w:b/>
                <w:bCs/>
                <w:sz w:val="20"/>
                <w:szCs w:val="20"/>
              </w:rPr>
              <w:t>Estimated Potential Load Reduction</w:t>
            </w:r>
          </w:p>
        </w:tc>
        <w:tc>
          <w:tcPr>
            <w:tcW w:w="6228" w:type="dxa"/>
          </w:tcPr>
          <w:p w14:paraId="3BB423B2" w14:textId="77777777" w:rsidR="005A10D3" w:rsidRPr="005A10D3" w:rsidRDefault="005A10D3" w:rsidP="005A10D3">
            <w:pPr>
              <w:rPr>
                <w:rFonts w:ascii="Calibri" w:hAnsi="Calibri" w:cs="Times New Roman"/>
                <w:sz w:val="20"/>
                <w:szCs w:val="20"/>
              </w:rPr>
            </w:pPr>
            <w:r w:rsidRPr="005A10D3">
              <w:rPr>
                <w:rFonts w:ascii="Calibri" w:hAnsi="Calibri" w:cs="Times New Roman"/>
                <w:sz w:val="20"/>
                <w:szCs w:val="20"/>
              </w:rPr>
              <w:t>IS 6.1 – 6.1.6 will allow tracking and verification of bacteria load reductions and may result in a 2% reduction over 25 years</w:t>
            </w:r>
          </w:p>
          <w:p w14:paraId="08CA2C93" w14:textId="77777777" w:rsidR="005A10D3" w:rsidRPr="005A10D3" w:rsidRDefault="005A10D3" w:rsidP="005A10D3">
            <w:pPr>
              <w:rPr>
                <w:rFonts w:ascii="Calibri" w:hAnsi="Calibri" w:cs="Times New Roman"/>
                <w:sz w:val="20"/>
                <w:szCs w:val="20"/>
              </w:rPr>
            </w:pPr>
          </w:p>
        </w:tc>
      </w:tr>
      <w:tr w:rsidR="005A10D3" w:rsidRPr="005A10D3" w14:paraId="1D0AD6DC" w14:textId="77777777" w:rsidTr="00674778">
        <w:trPr>
          <w:cantSplit/>
        </w:trPr>
        <w:tc>
          <w:tcPr>
            <w:tcW w:w="3348" w:type="dxa"/>
          </w:tcPr>
          <w:p w14:paraId="1D8F112B" w14:textId="77777777" w:rsidR="005A10D3" w:rsidRPr="005A10D3" w:rsidRDefault="005A10D3" w:rsidP="005A10D3">
            <w:pPr>
              <w:rPr>
                <w:rFonts w:ascii="Calibri" w:hAnsi="Calibri" w:cs="Times New Roman"/>
                <w:b/>
                <w:bCs/>
                <w:sz w:val="20"/>
                <w:szCs w:val="20"/>
              </w:rPr>
            </w:pPr>
            <w:r w:rsidRPr="005A10D3">
              <w:rPr>
                <w:rFonts w:ascii="Calibri" w:hAnsi="Calibri" w:cs="Times New Roman"/>
                <w:b/>
                <w:bCs/>
                <w:sz w:val="20"/>
                <w:szCs w:val="20"/>
              </w:rPr>
              <w:t>Technical and Financial Assistance Needed</w:t>
            </w:r>
            <w:bookmarkStart w:id="14" w:name="RowTitle_Strategy6_1"/>
            <w:bookmarkEnd w:id="14"/>
          </w:p>
        </w:tc>
        <w:tc>
          <w:tcPr>
            <w:tcW w:w="6228" w:type="dxa"/>
          </w:tcPr>
          <w:p w14:paraId="149265BB" w14:textId="77777777" w:rsidR="005A10D3" w:rsidRPr="005A10D3" w:rsidRDefault="005A10D3" w:rsidP="005A10D3">
            <w:pPr>
              <w:rPr>
                <w:rFonts w:ascii="Calibri" w:hAnsi="Calibri" w:cs="Times New Roman"/>
                <w:color w:val="000000"/>
                <w:sz w:val="20"/>
                <w:szCs w:val="20"/>
              </w:rPr>
            </w:pPr>
            <w:r w:rsidRPr="005A10D3">
              <w:rPr>
                <w:rFonts w:ascii="Calibri" w:hAnsi="Calibri" w:cs="Times New Roman"/>
                <w:color w:val="000000"/>
                <w:sz w:val="20"/>
                <w:szCs w:val="20"/>
                <w:u w:val="single"/>
              </w:rPr>
              <w:t>Technical</w:t>
            </w:r>
            <w:r w:rsidRPr="005A10D3">
              <w:rPr>
                <w:rFonts w:ascii="Calibri" w:hAnsi="Calibri" w:cs="Times New Roman"/>
                <w:color w:val="000000"/>
                <w:sz w:val="20"/>
                <w:szCs w:val="20"/>
              </w:rPr>
              <w:t xml:space="preserve">: some technical assistance may be necessary should entities new to a given type of monitoring wish to participate </w:t>
            </w:r>
            <w:r w:rsidRPr="005A10D3">
              <w:rPr>
                <w:rFonts w:ascii="Calibri" w:hAnsi="Calibri" w:cs="Times New Roman"/>
                <w:color w:val="000000"/>
                <w:sz w:val="20"/>
                <w:szCs w:val="20"/>
              </w:rPr>
              <w:br/>
            </w:r>
            <w:r w:rsidRPr="005A10D3">
              <w:rPr>
                <w:rFonts w:ascii="Calibri" w:hAnsi="Calibri" w:cs="Times New Roman"/>
                <w:color w:val="000000"/>
                <w:sz w:val="20"/>
                <w:szCs w:val="20"/>
              </w:rPr>
              <w:br/>
            </w:r>
            <w:r w:rsidRPr="005A10D3">
              <w:rPr>
                <w:rFonts w:ascii="Calibri" w:hAnsi="Calibri" w:cs="Times New Roman"/>
                <w:color w:val="000000"/>
                <w:sz w:val="20"/>
                <w:szCs w:val="20"/>
                <w:u w:val="single"/>
              </w:rPr>
              <w:t>Financial</w:t>
            </w:r>
            <w:r w:rsidRPr="005A10D3">
              <w:rPr>
                <w:rFonts w:ascii="Calibri" w:hAnsi="Calibri" w:cs="Times New Roman"/>
                <w:color w:val="000000"/>
                <w:sz w:val="20"/>
                <w:szCs w:val="20"/>
              </w:rPr>
              <w:t>:  grants or existing funding as appropriate</w:t>
            </w:r>
          </w:p>
          <w:p w14:paraId="4F5578DF" w14:textId="77777777" w:rsidR="005A10D3" w:rsidRPr="005A10D3" w:rsidRDefault="005A10D3" w:rsidP="005A10D3">
            <w:pPr>
              <w:rPr>
                <w:rFonts w:ascii="Calibri" w:hAnsi="Calibri" w:cs="Times New Roman"/>
                <w:sz w:val="20"/>
                <w:szCs w:val="20"/>
              </w:rPr>
            </w:pPr>
          </w:p>
        </w:tc>
      </w:tr>
      <w:tr w:rsidR="005A10D3" w:rsidRPr="005A10D3" w14:paraId="1B0B0528" w14:textId="77777777" w:rsidTr="00674778">
        <w:trPr>
          <w:cantSplit/>
        </w:trPr>
        <w:tc>
          <w:tcPr>
            <w:tcW w:w="3348" w:type="dxa"/>
          </w:tcPr>
          <w:p w14:paraId="43E17337" w14:textId="77777777" w:rsidR="005A10D3" w:rsidRPr="005A10D3" w:rsidRDefault="005A10D3" w:rsidP="005A10D3">
            <w:pPr>
              <w:rPr>
                <w:rFonts w:ascii="Calibri" w:hAnsi="Calibri" w:cs="Times New Roman"/>
                <w:b/>
                <w:bCs/>
                <w:sz w:val="20"/>
                <w:szCs w:val="20"/>
              </w:rPr>
            </w:pPr>
            <w:r w:rsidRPr="005A10D3">
              <w:rPr>
                <w:rFonts w:ascii="Calibri" w:hAnsi="Calibri" w:cs="Times New Roman"/>
                <w:b/>
                <w:bCs/>
                <w:sz w:val="20"/>
                <w:szCs w:val="20"/>
              </w:rPr>
              <w:t>Education Component</w:t>
            </w:r>
          </w:p>
        </w:tc>
        <w:tc>
          <w:tcPr>
            <w:tcW w:w="6228" w:type="dxa"/>
          </w:tcPr>
          <w:p w14:paraId="3B0DCEC9" w14:textId="77777777" w:rsidR="005A10D3" w:rsidRPr="005A10D3" w:rsidRDefault="005A10D3" w:rsidP="005A10D3">
            <w:pPr>
              <w:rPr>
                <w:rFonts w:ascii="Calibri" w:hAnsi="Calibri" w:cs="Times New Roman"/>
                <w:color w:val="000000"/>
                <w:sz w:val="20"/>
                <w:szCs w:val="20"/>
              </w:rPr>
            </w:pPr>
            <w:r w:rsidRPr="005A10D3">
              <w:rPr>
                <w:rFonts w:ascii="Calibri" w:hAnsi="Calibri" w:cs="Times New Roman"/>
                <w:color w:val="000000"/>
                <w:sz w:val="20"/>
                <w:szCs w:val="20"/>
              </w:rPr>
              <w:t>Some internal education may be necessary for some forum participants on new or existing monitoring methods or programs</w:t>
            </w:r>
          </w:p>
          <w:p w14:paraId="1BC2CBA4" w14:textId="77777777" w:rsidR="005A10D3" w:rsidRPr="005A10D3" w:rsidRDefault="005A10D3" w:rsidP="005A10D3">
            <w:pPr>
              <w:rPr>
                <w:rFonts w:ascii="Calibri" w:hAnsi="Calibri" w:cs="Times New Roman"/>
                <w:sz w:val="20"/>
                <w:szCs w:val="20"/>
              </w:rPr>
            </w:pPr>
          </w:p>
        </w:tc>
      </w:tr>
      <w:tr w:rsidR="005A10D3" w:rsidRPr="005A10D3" w14:paraId="6CF9C9B2" w14:textId="77777777" w:rsidTr="00674778">
        <w:trPr>
          <w:cantSplit/>
        </w:trPr>
        <w:tc>
          <w:tcPr>
            <w:tcW w:w="3348" w:type="dxa"/>
          </w:tcPr>
          <w:p w14:paraId="10D19A50" w14:textId="77777777" w:rsidR="005A10D3" w:rsidRPr="005A10D3" w:rsidRDefault="005A10D3" w:rsidP="005A10D3">
            <w:pPr>
              <w:rPr>
                <w:rFonts w:ascii="Calibri" w:hAnsi="Calibri" w:cs="Times New Roman"/>
                <w:b/>
                <w:bCs/>
                <w:sz w:val="20"/>
                <w:szCs w:val="20"/>
              </w:rPr>
            </w:pPr>
            <w:r w:rsidRPr="005A10D3">
              <w:rPr>
                <w:rFonts w:ascii="Calibri" w:hAnsi="Calibri" w:cs="Times New Roman"/>
                <w:b/>
                <w:bCs/>
                <w:sz w:val="20"/>
                <w:szCs w:val="20"/>
              </w:rPr>
              <w:t>Schedule of Implementation</w:t>
            </w:r>
          </w:p>
        </w:tc>
        <w:tc>
          <w:tcPr>
            <w:tcW w:w="6228" w:type="dxa"/>
          </w:tcPr>
          <w:p w14:paraId="5419AD2D" w14:textId="77777777" w:rsidR="005A10D3" w:rsidRPr="005A10D3" w:rsidRDefault="005A10D3" w:rsidP="005A10D3">
            <w:pPr>
              <w:rPr>
                <w:rFonts w:ascii="Calibri" w:hAnsi="Calibri" w:cs="Times New Roman"/>
                <w:color w:val="000000"/>
                <w:sz w:val="20"/>
                <w:szCs w:val="20"/>
              </w:rPr>
            </w:pPr>
            <w:r w:rsidRPr="005A10D3">
              <w:rPr>
                <w:rFonts w:ascii="Calibri" w:hAnsi="Calibri" w:cs="Times New Roman"/>
                <w:color w:val="000000"/>
                <w:sz w:val="20"/>
                <w:szCs w:val="20"/>
              </w:rPr>
              <w:t>As resources are available, the implementation of this activity will begin immediately and will continue for the entire implementation process with forum meetings taking place annually at a minimum</w:t>
            </w:r>
          </w:p>
          <w:p w14:paraId="78158770" w14:textId="77777777" w:rsidR="005A10D3" w:rsidRPr="005A10D3" w:rsidRDefault="005A10D3" w:rsidP="005A10D3">
            <w:pPr>
              <w:rPr>
                <w:rFonts w:ascii="Calibri" w:hAnsi="Calibri" w:cs="Times New Roman"/>
                <w:sz w:val="20"/>
                <w:szCs w:val="20"/>
              </w:rPr>
            </w:pPr>
          </w:p>
        </w:tc>
      </w:tr>
      <w:tr w:rsidR="005A10D3" w:rsidRPr="005A10D3" w14:paraId="572B57BF" w14:textId="77777777" w:rsidTr="00674778">
        <w:trPr>
          <w:cantSplit/>
        </w:trPr>
        <w:tc>
          <w:tcPr>
            <w:tcW w:w="3348" w:type="dxa"/>
          </w:tcPr>
          <w:p w14:paraId="45BBB52A" w14:textId="77777777" w:rsidR="005A10D3" w:rsidRPr="005A10D3" w:rsidRDefault="005A10D3" w:rsidP="005A10D3">
            <w:pPr>
              <w:rPr>
                <w:rFonts w:ascii="Calibri" w:hAnsi="Calibri" w:cs="Times New Roman"/>
                <w:b/>
                <w:bCs/>
                <w:sz w:val="20"/>
                <w:szCs w:val="20"/>
              </w:rPr>
            </w:pPr>
            <w:r w:rsidRPr="005A10D3">
              <w:rPr>
                <w:rFonts w:ascii="Calibri" w:hAnsi="Calibri" w:cs="Times New Roman"/>
                <w:b/>
                <w:bCs/>
                <w:sz w:val="20"/>
                <w:szCs w:val="20"/>
              </w:rPr>
              <w:t>Interim, Measurable Milestone</w:t>
            </w:r>
          </w:p>
        </w:tc>
        <w:tc>
          <w:tcPr>
            <w:tcW w:w="6228" w:type="dxa"/>
          </w:tcPr>
          <w:p w14:paraId="4D21DDB4" w14:textId="77777777" w:rsidR="005A10D3" w:rsidRPr="005A10D3" w:rsidRDefault="005A10D3" w:rsidP="005A10D3">
            <w:pPr>
              <w:rPr>
                <w:rFonts w:ascii="Calibri" w:hAnsi="Calibri" w:cs="Times New Roman"/>
                <w:color w:val="000000"/>
                <w:sz w:val="20"/>
                <w:szCs w:val="20"/>
              </w:rPr>
            </w:pPr>
            <w:r w:rsidRPr="005A10D3">
              <w:rPr>
                <w:rFonts w:ascii="Calibri" w:hAnsi="Calibri" w:cs="Times New Roman"/>
                <w:color w:val="000000"/>
                <w:sz w:val="20"/>
                <w:szCs w:val="20"/>
              </w:rPr>
              <w:t>Existing E. coli monitoring networks evaluated</w:t>
            </w:r>
            <w:r w:rsidRPr="005A10D3">
              <w:rPr>
                <w:rFonts w:ascii="Calibri" w:hAnsi="Calibri" w:cs="Times New Roman"/>
                <w:color w:val="000000"/>
                <w:sz w:val="20"/>
                <w:szCs w:val="20"/>
              </w:rPr>
              <w:br/>
            </w:r>
            <w:r w:rsidRPr="005A10D3">
              <w:rPr>
                <w:rFonts w:ascii="Calibri" w:hAnsi="Calibri" w:cs="Times New Roman"/>
                <w:color w:val="000000"/>
                <w:sz w:val="20"/>
                <w:szCs w:val="20"/>
              </w:rPr>
              <w:br/>
              <w:t>New source review for data</w:t>
            </w:r>
            <w:r w:rsidRPr="005A10D3">
              <w:rPr>
                <w:rFonts w:ascii="Calibri" w:hAnsi="Calibri" w:cs="Times New Roman"/>
                <w:color w:val="000000"/>
                <w:sz w:val="20"/>
                <w:szCs w:val="20"/>
              </w:rPr>
              <w:br/>
            </w:r>
            <w:r w:rsidRPr="005A10D3">
              <w:rPr>
                <w:rFonts w:ascii="Calibri" w:hAnsi="Calibri" w:cs="Times New Roman"/>
                <w:color w:val="000000"/>
                <w:sz w:val="20"/>
                <w:szCs w:val="20"/>
              </w:rPr>
              <w:br/>
              <w:t>Data assessment of overall trends for BMP effectiveness</w:t>
            </w:r>
            <w:r w:rsidRPr="005A10D3">
              <w:rPr>
                <w:rFonts w:ascii="Calibri" w:hAnsi="Calibri" w:cs="Times New Roman"/>
                <w:color w:val="000000"/>
                <w:sz w:val="20"/>
                <w:szCs w:val="20"/>
              </w:rPr>
              <w:br/>
            </w:r>
            <w:r w:rsidRPr="005A10D3">
              <w:rPr>
                <w:rFonts w:ascii="Calibri" w:hAnsi="Calibri" w:cs="Times New Roman"/>
                <w:color w:val="000000"/>
                <w:sz w:val="20"/>
                <w:szCs w:val="20"/>
              </w:rPr>
              <w:br/>
              <w:t>Reevaluation of monitoring technologies</w:t>
            </w:r>
            <w:r w:rsidRPr="005A10D3">
              <w:rPr>
                <w:rFonts w:ascii="Calibri" w:hAnsi="Calibri" w:cs="Times New Roman"/>
                <w:color w:val="000000"/>
                <w:sz w:val="20"/>
                <w:szCs w:val="20"/>
              </w:rPr>
              <w:br/>
            </w:r>
            <w:r w:rsidRPr="005A10D3">
              <w:rPr>
                <w:rFonts w:ascii="Calibri" w:hAnsi="Calibri" w:cs="Times New Roman"/>
                <w:color w:val="000000"/>
                <w:sz w:val="20"/>
                <w:szCs w:val="20"/>
              </w:rPr>
              <w:br/>
              <w:t>Online data consolidation and access evaluation</w:t>
            </w:r>
          </w:p>
          <w:p w14:paraId="27432D3D" w14:textId="77777777" w:rsidR="005A10D3" w:rsidRPr="005A10D3" w:rsidRDefault="005A10D3" w:rsidP="005A10D3">
            <w:pPr>
              <w:rPr>
                <w:rFonts w:ascii="Calibri" w:hAnsi="Calibri" w:cs="Times New Roman"/>
                <w:sz w:val="20"/>
                <w:szCs w:val="20"/>
              </w:rPr>
            </w:pPr>
          </w:p>
        </w:tc>
      </w:tr>
      <w:tr w:rsidR="005A10D3" w:rsidRPr="005A10D3" w14:paraId="5CFFBF89" w14:textId="77777777" w:rsidTr="00674778">
        <w:trPr>
          <w:cantSplit/>
        </w:trPr>
        <w:tc>
          <w:tcPr>
            <w:tcW w:w="3348" w:type="dxa"/>
          </w:tcPr>
          <w:p w14:paraId="34D22B61" w14:textId="77777777" w:rsidR="005A10D3" w:rsidRPr="005A10D3" w:rsidRDefault="005A10D3" w:rsidP="005A10D3">
            <w:pPr>
              <w:rPr>
                <w:rFonts w:ascii="Calibri" w:hAnsi="Calibri" w:cs="Times New Roman"/>
                <w:b/>
                <w:bCs/>
                <w:sz w:val="20"/>
                <w:szCs w:val="20"/>
              </w:rPr>
            </w:pPr>
            <w:r w:rsidRPr="005A10D3">
              <w:rPr>
                <w:rFonts w:ascii="Calibri" w:hAnsi="Calibri" w:cs="Times New Roman"/>
                <w:b/>
                <w:bCs/>
                <w:sz w:val="20"/>
                <w:szCs w:val="20"/>
              </w:rPr>
              <w:t>Progress Indicators</w:t>
            </w:r>
          </w:p>
        </w:tc>
        <w:tc>
          <w:tcPr>
            <w:tcW w:w="6228" w:type="dxa"/>
          </w:tcPr>
          <w:p w14:paraId="7DD6FEC7" w14:textId="77777777" w:rsidR="005A10D3" w:rsidRPr="005A10D3" w:rsidRDefault="005A10D3" w:rsidP="005A10D3">
            <w:pPr>
              <w:rPr>
                <w:rFonts w:ascii="Calibri" w:hAnsi="Calibri" w:cs="Times New Roman"/>
                <w:color w:val="000000"/>
                <w:sz w:val="20"/>
                <w:szCs w:val="20"/>
              </w:rPr>
            </w:pPr>
            <w:r w:rsidRPr="005A10D3">
              <w:rPr>
                <w:rFonts w:ascii="Calibri" w:hAnsi="Calibri" w:cs="Times New Roman"/>
                <w:color w:val="000000"/>
                <w:sz w:val="20"/>
                <w:szCs w:val="20"/>
              </w:rPr>
              <w:t xml:space="preserve">Number of existing monitoring sites evaluated </w:t>
            </w:r>
            <w:r w:rsidRPr="005A10D3">
              <w:rPr>
                <w:rFonts w:ascii="Calibri" w:hAnsi="Calibri" w:cs="Times New Roman"/>
                <w:color w:val="000000"/>
                <w:sz w:val="20"/>
                <w:szCs w:val="20"/>
              </w:rPr>
              <w:br/>
            </w:r>
            <w:r w:rsidRPr="005A10D3">
              <w:rPr>
                <w:rFonts w:ascii="Calibri" w:hAnsi="Calibri" w:cs="Times New Roman"/>
                <w:color w:val="000000"/>
                <w:sz w:val="20"/>
                <w:szCs w:val="20"/>
              </w:rPr>
              <w:br/>
              <w:t>Number of data gaps identified</w:t>
            </w:r>
            <w:r w:rsidRPr="005A10D3">
              <w:rPr>
                <w:rFonts w:ascii="Calibri" w:hAnsi="Calibri" w:cs="Times New Roman"/>
                <w:color w:val="000000"/>
                <w:sz w:val="20"/>
                <w:szCs w:val="20"/>
              </w:rPr>
              <w:br/>
            </w:r>
            <w:r w:rsidRPr="005A10D3">
              <w:rPr>
                <w:rFonts w:ascii="Calibri" w:hAnsi="Calibri" w:cs="Times New Roman"/>
                <w:color w:val="000000"/>
                <w:sz w:val="20"/>
                <w:szCs w:val="20"/>
              </w:rPr>
              <w:br/>
              <w:t>Number of new non-traditional monitoring sources identified</w:t>
            </w:r>
            <w:r w:rsidRPr="005A10D3">
              <w:rPr>
                <w:rFonts w:ascii="Calibri" w:hAnsi="Calibri" w:cs="Times New Roman"/>
                <w:color w:val="000000"/>
                <w:sz w:val="20"/>
                <w:szCs w:val="20"/>
              </w:rPr>
              <w:br/>
            </w:r>
            <w:r w:rsidRPr="005A10D3">
              <w:rPr>
                <w:rFonts w:ascii="Calibri" w:hAnsi="Calibri" w:cs="Times New Roman"/>
                <w:color w:val="000000"/>
                <w:sz w:val="20"/>
                <w:szCs w:val="20"/>
              </w:rPr>
              <w:br/>
              <w:t>Number of data assessments (reports) in relation to BMP effectiveness</w:t>
            </w:r>
            <w:r w:rsidRPr="005A10D3">
              <w:rPr>
                <w:rFonts w:ascii="Calibri" w:hAnsi="Calibri" w:cs="Times New Roman"/>
                <w:color w:val="000000"/>
                <w:sz w:val="20"/>
                <w:szCs w:val="20"/>
              </w:rPr>
              <w:br/>
            </w:r>
            <w:r w:rsidRPr="005A10D3">
              <w:rPr>
                <w:rFonts w:ascii="Calibri" w:hAnsi="Calibri" w:cs="Times New Roman"/>
                <w:color w:val="000000"/>
                <w:sz w:val="20"/>
                <w:szCs w:val="20"/>
              </w:rPr>
              <w:br/>
              <w:t>Number of pilot projects evaluated</w:t>
            </w:r>
          </w:p>
          <w:p w14:paraId="3BF910A1" w14:textId="77777777" w:rsidR="005A10D3" w:rsidRPr="005A10D3" w:rsidRDefault="005A10D3" w:rsidP="005A10D3">
            <w:pPr>
              <w:rPr>
                <w:rFonts w:ascii="Calibri" w:hAnsi="Calibri" w:cs="Times New Roman"/>
                <w:sz w:val="20"/>
                <w:szCs w:val="20"/>
              </w:rPr>
            </w:pPr>
          </w:p>
        </w:tc>
      </w:tr>
      <w:tr w:rsidR="005A10D3" w:rsidRPr="005A10D3" w14:paraId="11972425" w14:textId="77777777" w:rsidTr="00674778">
        <w:trPr>
          <w:cantSplit/>
        </w:trPr>
        <w:tc>
          <w:tcPr>
            <w:tcW w:w="3348" w:type="dxa"/>
          </w:tcPr>
          <w:p w14:paraId="5A63DCCF" w14:textId="77777777" w:rsidR="005A10D3" w:rsidRPr="005A10D3" w:rsidRDefault="005A10D3" w:rsidP="005A10D3">
            <w:pPr>
              <w:rPr>
                <w:rFonts w:ascii="Calibri" w:hAnsi="Calibri" w:cs="Times New Roman"/>
                <w:b/>
                <w:bCs/>
                <w:sz w:val="20"/>
                <w:szCs w:val="20"/>
              </w:rPr>
            </w:pPr>
            <w:r w:rsidRPr="005A10D3">
              <w:rPr>
                <w:rFonts w:ascii="Calibri" w:hAnsi="Calibri" w:cs="Times New Roman"/>
                <w:b/>
                <w:bCs/>
                <w:sz w:val="20"/>
                <w:szCs w:val="20"/>
              </w:rPr>
              <w:t>Monitoring Component</w:t>
            </w:r>
          </w:p>
        </w:tc>
        <w:tc>
          <w:tcPr>
            <w:tcW w:w="6228" w:type="dxa"/>
          </w:tcPr>
          <w:p w14:paraId="441ADC92" w14:textId="77777777" w:rsidR="005A10D3" w:rsidRPr="005A10D3" w:rsidRDefault="005A10D3" w:rsidP="005A10D3">
            <w:pPr>
              <w:rPr>
                <w:rFonts w:ascii="Calibri" w:hAnsi="Calibri" w:cs="Times New Roman"/>
                <w:color w:val="000000"/>
                <w:sz w:val="20"/>
                <w:szCs w:val="20"/>
              </w:rPr>
            </w:pPr>
            <w:r w:rsidRPr="005A10D3">
              <w:rPr>
                <w:rFonts w:ascii="Calibri" w:hAnsi="Calibri" w:cs="Times New Roman"/>
                <w:color w:val="000000"/>
                <w:sz w:val="20"/>
                <w:szCs w:val="20"/>
              </w:rPr>
              <w:t>NCTCOG will collect results of evaluations, assessments, and other results from the Monitoring Coordination Forum</w:t>
            </w:r>
          </w:p>
          <w:p w14:paraId="558CB20B" w14:textId="77777777" w:rsidR="005A10D3" w:rsidRPr="005A10D3" w:rsidRDefault="005A10D3" w:rsidP="005A10D3">
            <w:pPr>
              <w:rPr>
                <w:rFonts w:ascii="Calibri" w:hAnsi="Calibri" w:cs="Times New Roman"/>
                <w:sz w:val="20"/>
                <w:szCs w:val="20"/>
              </w:rPr>
            </w:pPr>
          </w:p>
        </w:tc>
      </w:tr>
      <w:tr w:rsidR="005A10D3" w:rsidRPr="005A10D3" w14:paraId="0C95803D" w14:textId="77777777" w:rsidTr="00674778">
        <w:trPr>
          <w:cantSplit/>
        </w:trPr>
        <w:tc>
          <w:tcPr>
            <w:tcW w:w="3348" w:type="dxa"/>
          </w:tcPr>
          <w:p w14:paraId="6E52523E" w14:textId="77777777" w:rsidR="005A10D3" w:rsidRPr="005A10D3" w:rsidRDefault="005A10D3" w:rsidP="005A10D3">
            <w:pPr>
              <w:rPr>
                <w:rFonts w:ascii="Calibri" w:hAnsi="Calibri" w:cs="Times New Roman"/>
                <w:b/>
                <w:bCs/>
                <w:sz w:val="20"/>
                <w:szCs w:val="20"/>
              </w:rPr>
            </w:pPr>
            <w:r w:rsidRPr="005A10D3">
              <w:rPr>
                <w:rFonts w:ascii="Calibri" w:hAnsi="Calibri" w:cs="Times New Roman"/>
                <w:b/>
                <w:bCs/>
                <w:sz w:val="20"/>
                <w:szCs w:val="20"/>
              </w:rPr>
              <w:t>Responsible Entity</w:t>
            </w:r>
          </w:p>
        </w:tc>
        <w:tc>
          <w:tcPr>
            <w:tcW w:w="6228" w:type="dxa"/>
          </w:tcPr>
          <w:p w14:paraId="6729F434" w14:textId="77777777" w:rsidR="005A10D3" w:rsidRPr="005A10D3" w:rsidRDefault="005A10D3" w:rsidP="005A10D3">
            <w:pPr>
              <w:rPr>
                <w:rFonts w:ascii="Calibri" w:hAnsi="Calibri" w:cs="Times New Roman"/>
                <w:color w:val="000000"/>
                <w:sz w:val="20"/>
                <w:szCs w:val="20"/>
              </w:rPr>
            </w:pPr>
            <w:r w:rsidRPr="005A10D3">
              <w:rPr>
                <w:rFonts w:ascii="Calibri" w:hAnsi="Calibri" w:cs="Times New Roman"/>
                <w:color w:val="000000"/>
                <w:sz w:val="20"/>
                <w:szCs w:val="20"/>
              </w:rPr>
              <w:t>Monitoring Coordination Forum will evaluate existing E. coli monitoring and new sources for data, reevaluate monitoring technologies, evaluate online data access, and assess data for BMP effectiveness</w:t>
            </w:r>
            <w:r w:rsidRPr="005A10D3">
              <w:rPr>
                <w:rFonts w:ascii="Calibri" w:hAnsi="Calibri" w:cs="Times New Roman"/>
                <w:color w:val="000000"/>
                <w:sz w:val="20"/>
                <w:szCs w:val="20"/>
              </w:rPr>
              <w:br/>
            </w:r>
            <w:r w:rsidRPr="005A10D3">
              <w:rPr>
                <w:rFonts w:ascii="Calibri" w:hAnsi="Calibri" w:cs="Times New Roman"/>
                <w:color w:val="000000"/>
                <w:sz w:val="20"/>
                <w:szCs w:val="20"/>
              </w:rPr>
              <w:br/>
              <w:t>NCTCOG will compile results into a report for the Coordination Committee</w:t>
            </w:r>
          </w:p>
          <w:p w14:paraId="4F8A6D72" w14:textId="77777777" w:rsidR="005A10D3" w:rsidRPr="005A10D3" w:rsidRDefault="005A10D3" w:rsidP="005A10D3">
            <w:pPr>
              <w:rPr>
                <w:rFonts w:ascii="Calibri" w:hAnsi="Calibri" w:cs="Times New Roman"/>
                <w:sz w:val="20"/>
                <w:szCs w:val="20"/>
              </w:rPr>
            </w:pPr>
          </w:p>
        </w:tc>
      </w:tr>
    </w:tbl>
    <w:p w14:paraId="5E65651F" w14:textId="77777777" w:rsidR="005A10D3" w:rsidRPr="005A10D3" w:rsidRDefault="005A10D3" w:rsidP="005A10D3">
      <w:pPr>
        <w:spacing w:after="0" w:line="240" w:lineRule="auto"/>
        <w:rPr>
          <w:rFonts w:ascii="Calibri" w:eastAsia="Times New Roman" w:hAnsi="Calibri" w:cs="Times New Roman"/>
          <w:kern w:val="0"/>
          <w:sz w:val="22"/>
          <w:szCs w:val="22"/>
          <w14:ligatures w14:val="none"/>
        </w:rPr>
      </w:pPr>
    </w:p>
    <w:p w14:paraId="72E5429B" w14:textId="77777777" w:rsidR="005A10D3" w:rsidRPr="005A10D3" w:rsidRDefault="005A10D3" w:rsidP="005A10D3">
      <w:pPr>
        <w:keepNext/>
        <w:keepLines/>
        <w:spacing w:before="200" w:after="200" w:line="276" w:lineRule="auto"/>
        <w:outlineLvl w:val="1"/>
        <w:rPr>
          <w:rFonts w:ascii="Calibri" w:eastAsia="Times New Roman" w:hAnsi="Calibri" w:cs="Times New Roman"/>
          <w:b/>
          <w:bCs/>
          <w:kern w:val="0"/>
          <w:sz w:val="26"/>
          <w:szCs w:val="26"/>
          <w14:ligatures w14:val="none"/>
        </w:rPr>
      </w:pPr>
      <w:bookmarkStart w:id="15" w:name="_Toc44588172"/>
      <w:r w:rsidRPr="005A10D3">
        <w:rPr>
          <w:rFonts w:ascii="Calibri" w:eastAsia="Times New Roman" w:hAnsi="Calibri" w:cs="Times New Roman"/>
          <w:b/>
          <w:bCs/>
          <w:kern w:val="0"/>
          <w:sz w:val="26"/>
          <w:szCs w:val="26"/>
          <w14:ligatures w14:val="none"/>
        </w:rPr>
        <w:lastRenderedPageBreak/>
        <w:t>Implementation Strategy 6.2:  Source identification and monitoring review</w:t>
      </w:r>
      <w:bookmarkEnd w:id="15"/>
    </w:p>
    <w:p w14:paraId="6039272C" w14:textId="77777777" w:rsidR="005A10D3" w:rsidRPr="005A10D3" w:rsidRDefault="005A10D3" w:rsidP="005A10D3">
      <w:pPr>
        <w:spacing w:after="220" w:line="240" w:lineRule="auto"/>
        <w:rPr>
          <w:rFonts w:ascii="Calibri" w:eastAsia="Times New Roman" w:hAnsi="Calibri" w:cs="Times New Roman"/>
          <w:kern w:val="0"/>
          <w:sz w:val="22"/>
          <w14:ligatures w14:val="none"/>
        </w:rPr>
      </w:pPr>
      <w:r w:rsidRPr="005A10D3">
        <w:rPr>
          <w:rFonts w:ascii="Calibri" w:eastAsia="Times New Roman" w:hAnsi="Calibri" w:cs="Times New Roman"/>
          <w:kern w:val="0"/>
          <w:sz w:val="22"/>
          <w14:ligatures w14:val="none"/>
        </w:rPr>
        <w:t xml:space="preserve">Accurate identification and quantification of </w:t>
      </w:r>
      <w:r w:rsidRPr="005A10D3">
        <w:rPr>
          <w:rFonts w:ascii="Calibri" w:eastAsia="Times New Roman" w:hAnsi="Calibri" w:cs="Times New Roman"/>
          <w:i/>
          <w:kern w:val="0"/>
          <w:sz w:val="22"/>
          <w14:ligatures w14:val="none"/>
        </w:rPr>
        <w:t>E. coli</w:t>
      </w:r>
      <w:r w:rsidRPr="005A10D3">
        <w:rPr>
          <w:rFonts w:ascii="Calibri" w:eastAsia="Times New Roman" w:hAnsi="Calibri" w:cs="Times New Roman"/>
          <w:kern w:val="0"/>
          <w:sz w:val="22"/>
          <w14:ligatures w14:val="none"/>
        </w:rPr>
        <w:t xml:space="preserve"> sources in the project area is needed. Without this information it is difficult to accurately assess the impact of any one implementation strategy, or for that matter, the impact of any one source. As explained in Table 45, in 2018 the Coordination Committee will review monitoring techniques and determine whether it is appropriate, in terms of financial and technical viability, to request the TCEQ make changes in their monitoring with </w:t>
      </w:r>
      <w:proofErr w:type="gramStart"/>
      <w:r w:rsidRPr="005A10D3">
        <w:rPr>
          <w:rFonts w:ascii="Calibri" w:eastAsia="Times New Roman" w:hAnsi="Calibri" w:cs="Times New Roman"/>
          <w:kern w:val="0"/>
          <w:sz w:val="22"/>
          <w14:ligatures w14:val="none"/>
        </w:rPr>
        <w:t>particular regard</w:t>
      </w:r>
      <w:proofErr w:type="gramEnd"/>
      <w:r w:rsidRPr="005A10D3">
        <w:rPr>
          <w:rFonts w:ascii="Calibri" w:eastAsia="Times New Roman" w:hAnsi="Calibri" w:cs="Times New Roman"/>
          <w:kern w:val="0"/>
          <w:sz w:val="22"/>
          <w14:ligatures w14:val="none"/>
        </w:rPr>
        <w:t xml:space="preserve"> to source identification. </w:t>
      </w:r>
    </w:p>
    <w:p w14:paraId="0BA0AE5C" w14:textId="77777777" w:rsidR="005A10D3" w:rsidRPr="005A10D3" w:rsidRDefault="005A10D3" w:rsidP="005A10D3">
      <w:pPr>
        <w:spacing w:after="200" w:line="240" w:lineRule="auto"/>
        <w:rPr>
          <w:rFonts w:ascii="Calibri" w:eastAsia="Times New Roman" w:hAnsi="Calibri" w:cs="Times New Roman"/>
          <w:b/>
          <w:bCs/>
          <w:kern w:val="0"/>
          <w:sz w:val="22"/>
          <w:szCs w:val="22"/>
          <w14:ligatures w14:val="none"/>
        </w:rPr>
      </w:pPr>
      <w:bookmarkStart w:id="16" w:name="_Toc5875075"/>
      <w:r w:rsidRPr="005A10D3">
        <w:rPr>
          <w:rFonts w:ascii="Calibri" w:eastAsia="Times New Roman" w:hAnsi="Calibri" w:cs="Times New Roman"/>
          <w:b/>
          <w:bCs/>
          <w:kern w:val="0"/>
          <w:sz w:val="22"/>
          <w:szCs w:val="22"/>
          <w14:ligatures w14:val="none"/>
        </w:rPr>
        <w:t xml:space="preserve">Table </w:t>
      </w:r>
      <w:r w:rsidRPr="005A10D3">
        <w:rPr>
          <w:rFonts w:ascii="Calibri" w:eastAsia="Times New Roman" w:hAnsi="Calibri" w:cs="Times New Roman"/>
          <w:b/>
          <w:bCs/>
          <w:noProof/>
          <w:kern w:val="0"/>
          <w:sz w:val="22"/>
          <w:szCs w:val="22"/>
          <w14:ligatures w14:val="none"/>
        </w:rPr>
        <w:fldChar w:fldCharType="begin"/>
      </w:r>
      <w:r w:rsidRPr="005A10D3">
        <w:rPr>
          <w:rFonts w:ascii="Calibri" w:eastAsia="Times New Roman" w:hAnsi="Calibri" w:cs="Times New Roman"/>
          <w:b/>
          <w:bCs/>
          <w:noProof/>
          <w:kern w:val="0"/>
          <w:sz w:val="22"/>
          <w:szCs w:val="22"/>
          <w14:ligatures w14:val="none"/>
        </w:rPr>
        <w:instrText xml:space="preserve"> SEQ Table \* ARABIC </w:instrText>
      </w:r>
      <w:r w:rsidRPr="005A10D3">
        <w:rPr>
          <w:rFonts w:ascii="Calibri" w:eastAsia="Times New Roman" w:hAnsi="Calibri" w:cs="Times New Roman"/>
          <w:b/>
          <w:bCs/>
          <w:noProof/>
          <w:kern w:val="0"/>
          <w:sz w:val="22"/>
          <w:szCs w:val="22"/>
          <w14:ligatures w14:val="none"/>
        </w:rPr>
        <w:fldChar w:fldCharType="separate"/>
      </w:r>
      <w:r w:rsidRPr="005A10D3">
        <w:rPr>
          <w:rFonts w:ascii="Calibri" w:eastAsia="Times New Roman" w:hAnsi="Calibri" w:cs="Times New Roman"/>
          <w:b/>
          <w:bCs/>
          <w:noProof/>
          <w:kern w:val="0"/>
          <w:sz w:val="22"/>
          <w:szCs w:val="22"/>
          <w14:ligatures w14:val="none"/>
        </w:rPr>
        <w:t>45</w:t>
      </w:r>
      <w:r w:rsidRPr="005A10D3">
        <w:rPr>
          <w:rFonts w:ascii="Calibri" w:eastAsia="Times New Roman" w:hAnsi="Calibri" w:cs="Times New Roman"/>
          <w:b/>
          <w:bCs/>
          <w:noProof/>
          <w:kern w:val="0"/>
          <w:sz w:val="22"/>
          <w:szCs w:val="22"/>
          <w14:ligatures w14:val="none"/>
        </w:rPr>
        <w:fldChar w:fldCharType="end"/>
      </w:r>
      <w:r w:rsidRPr="005A10D3">
        <w:rPr>
          <w:rFonts w:ascii="Calibri" w:eastAsia="Times New Roman" w:hAnsi="Calibri" w:cs="Times New Roman"/>
          <w:b/>
          <w:bCs/>
          <w:kern w:val="0"/>
          <w:sz w:val="22"/>
          <w:szCs w:val="22"/>
          <w14:ligatures w14:val="none"/>
        </w:rPr>
        <w:t xml:space="preserve">. Implementation Strategy 6.2 Summary </w:t>
      </w:r>
      <w:r w:rsidRPr="005A10D3">
        <w:rPr>
          <w:rFonts w:ascii="Georgia" w:eastAsia="Times New Roman" w:hAnsi="Georgia" w:cs="Times New Roman"/>
          <w:b/>
          <w:bCs/>
          <w:kern w:val="0"/>
          <w:sz w:val="22"/>
          <w:szCs w:val="22"/>
          <w14:ligatures w14:val="none"/>
        </w:rPr>
        <w:t>—</w:t>
      </w:r>
      <w:r w:rsidRPr="005A10D3">
        <w:rPr>
          <w:rFonts w:ascii="Calibri" w:eastAsia="Times New Roman" w:hAnsi="Calibri" w:cs="Times New Roman"/>
          <w:b/>
          <w:bCs/>
          <w:kern w:val="0"/>
          <w:sz w:val="22"/>
          <w:szCs w:val="22"/>
          <w14:ligatures w14:val="none"/>
        </w:rPr>
        <w:t xml:space="preserve"> Source identification and monitoring review</w:t>
      </w:r>
      <w:bookmarkEnd w:id="16"/>
    </w:p>
    <w:tbl>
      <w:tblPr>
        <w:tblStyle w:val="TableGrid"/>
        <w:tblW w:w="0" w:type="auto"/>
        <w:tblCellMar>
          <w:left w:w="115" w:type="dxa"/>
          <w:bottom w:w="144" w:type="dxa"/>
          <w:right w:w="115" w:type="dxa"/>
        </w:tblCellMar>
        <w:tblLook w:val="04A0" w:firstRow="1" w:lastRow="0" w:firstColumn="1" w:lastColumn="0" w:noHBand="0" w:noVBand="1"/>
        <w:tblCaption w:val="Table 41. Implementation Strategy 6.2 Summary — Source identification and monitoring review"/>
        <w:tblDescription w:val="A table summarizing Implementation Strategy 6.2— Source identification and monitoring review."/>
      </w:tblPr>
      <w:tblGrid>
        <w:gridCol w:w="3286"/>
        <w:gridCol w:w="6064"/>
      </w:tblGrid>
      <w:tr w:rsidR="005A10D3" w:rsidRPr="005A10D3" w14:paraId="347F732B" w14:textId="77777777" w:rsidTr="00674778">
        <w:trPr>
          <w:cantSplit/>
        </w:trPr>
        <w:tc>
          <w:tcPr>
            <w:tcW w:w="3348" w:type="dxa"/>
          </w:tcPr>
          <w:p w14:paraId="2E4DBE10" w14:textId="77777777" w:rsidR="005A10D3" w:rsidRPr="005A10D3" w:rsidRDefault="005A10D3" w:rsidP="005A10D3">
            <w:pPr>
              <w:rPr>
                <w:rFonts w:ascii="Calibri" w:hAnsi="Calibri" w:cs="Times New Roman"/>
                <w:b/>
                <w:bCs/>
                <w:sz w:val="20"/>
                <w:szCs w:val="20"/>
              </w:rPr>
            </w:pPr>
            <w:r w:rsidRPr="005A10D3">
              <w:rPr>
                <w:rFonts w:ascii="Calibri" w:hAnsi="Calibri" w:cs="Times New Roman"/>
                <w:b/>
                <w:bCs/>
                <w:sz w:val="20"/>
                <w:szCs w:val="20"/>
              </w:rPr>
              <w:t>Targeted Source(s)</w:t>
            </w:r>
          </w:p>
        </w:tc>
        <w:tc>
          <w:tcPr>
            <w:tcW w:w="6228" w:type="dxa"/>
          </w:tcPr>
          <w:p w14:paraId="77813FF4" w14:textId="77777777" w:rsidR="005A10D3" w:rsidRPr="005A10D3" w:rsidRDefault="005A10D3" w:rsidP="005A10D3">
            <w:pPr>
              <w:rPr>
                <w:rFonts w:ascii="Calibri" w:hAnsi="Calibri" w:cs="Times New Roman"/>
                <w:sz w:val="20"/>
                <w:szCs w:val="20"/>
              </w:rPr>
            </w:pPr>
            <w:r w:rsidRPr="005A10D3">
              <w:rPr>
                <w:rFonts w:ascii="Calibri" w:hAnsi="Calibri" w:cs="Times New Roman"/>
                <w:sz w:val="20"/>
                <w:szCs w:val="20"/>
              </w:rPr>
              <w:t>Species-specific and/or human versus non-human contributors to bacteria loading</w:t>
            </w:r>
          </w:p>
        </w:tc>
      </w:tr>
      <w:tr w:rsidR="005A10D3" w:rsidRPr="005A10D3" w14:paraId="491140C6" w14:textId="77777777" w:rsidTr="00674778">
        <w:trPr>
          <w:cantSplit/>
        </w:trPr>
        <w:tc>
          <w:tcPr>
            <w:tcW w:w="3348" w:type="dxa"/>
          </w:tcPr>
          <w:p w14:paraId="18721875" w14:textId="77777777" w:rsidR="005A10D3" w:rsidRPr="005A10D3" w:rsidRDefault="005A10D3" w:rsidP="005A10D3">
            <w:pPr>
              <w:rPr>
                <w:rFonts w:ascii="Calibri" w:hAnsi="Calibri" w:cs="Times New Roman"/>
                <w:b/>
                <w:bCs/>
                <w:sz w:val="20"/>
                <w:szCs w:val="20"/>
              </w:rPr>
            </w:pPr>
            <w:r w:rsidRPr="005A10D3">
              <w:rPr>
                <w:rFonts w:ascii="Calibri" w:hAnsi="Calibri" w:cs="Times New Roman"/>
                <w:b/>
                <w:bCs/>
                <w:sz w:val="20"/>
                <w:szCs w:val="20"/>
              </w:rPr>
              <w:t>Estimated Potential Load Reduct</w:t>
            </w:r>
            <w:bookmarkStart w:id="17" w:name="RowTitle_Strategy6_2"/>
            <w:bookmarkEnd w:id="17"/>
            <w:r w:rsidRPr="005A10D3">
              <w:rPr>
                <w:rFonts w:ascii="Calibri" w:hAnsi="Calibri" w:cs="Times New Roman"/>
                <w:b/>
                <w:bCs/>
                <w:sz w:val="20"/>
                <w:szCs w:val="20"/>
              </w:rPr>
              <w:t>ion</w:t>
            </w:r>
          </w:p>
        </w:tc>
        <w:tc>
          <w:tcPr>
            <w:tcW w:w="6228" w:type="dxa"/>
          </w:tcPr>
          <w:p w14:paraId="6C210031" w14:textId="77777777" w:rsidR="005A10D3" w:rsidRPr="005A10D3" w:rsidRDefault="005A10D3" w:rsidP="005A10D3">
            <w:pPr>
              <w:rPr>
                <w:rFonts w:ascii="Calibri" w:hAnsi="Calibri" w:cs="Times New Roman"/>
                <w:sz w:val="20"/>
                <w:szCs w:val="20"/>
              </w:rPr>
            </w:pPr>
            <w:r w:rsidRPr="005A10D3">
              <w:rPr>
                <w:rFonts w:ascii="Calibri" w:hAnsi="Calibri" w:cs="Times New Roman"/>
                <w:sz w:val="20"/>
                <w:szCs w:val="20"/>
              </w:rPr>
              <w:t>IS 6.2 may result in a 10% reduction over 25 years of calculated bacteria loading by allowing better identification and targeting of bacterial sources, with consequent reductions in loading</w:t>
            </w:r>
          </w:p>
        </w:tc>
      </w:tr>
      <w:tr w:rsidR="005A10D3" w:rsidRPr="005A10D3" w14:paraId="54F506A7" w14:textId="77777777" w:rsidTr="00674778">
        <w:trPr>
          <w:cantSplit/>
        </w:trPr>
        <w:tc>
          <w:tcPr>
            <w:tcW w:w="3348" w:type="dxa"/>
          </w:tcPr>
          <w:p w14:paraId="35EED834" w14:textId="77777777" w:rsidR="005A10D3" w:rsidRPr="005A10D3" w:rsidRDefault="005A10D3" w:rsidP="005A10D3">
            <w:pPr>
              <w:rPr>
                <w:rFonts w:ascii="Calibri" w:hAnsi="Calibri" w:cs="Times New Roman"/>
                <w:b/>
                <w:bCs/>
                <w:sz w:val="20"/>
                <w:szCs w:val="20"/>
              </w:rPr>
            </w:pPr>
            <w:r w:rsidRPr="005A10D3">
              <w:rPr>
                <w:rFonts w:ascii="Calibri" w:hAnsi="Calibri" w:cs="Times New Roman"/>
                <w:b/>
                <w:bCs/>
                <w:sz w:val="20"/>
                <w:szCs w:val="20"/>
              </w:rPr>
              <w:t>Technical and Financial Assistance Needed</w:t>
            </w:r>
          </w:p>
        </w:tc>
        <w:tc>
          <w:tcPr>
            <w:tcW w:w="6228" w:type="dxa"/>
          </w:tcPr>
          <w:p w14:paraId="26E9086D" w14:textId="77777777" w:rsidR="005A10D3" w:rsidRPr="005A10D3" w:rsidRDefault="005A10D3" w:rsidP="005A10D3">
            <w:pPr>
              <w:rPr>
                <w:rFonts w:ascii="Calibri" w:hAnsi="Calibri" w:cs="Times New Roman"/>
                <w:sz w:val="20"/>
                <w:szCs w:val="20"/>
              </w:rPr>
            </w:pPr>
            <w:r w:rsidRPr="005A10D3">
              <w:rPr>
                <w:rFonts w:ascii="Calibri" w:hAnsi="Calibri" w:cs="Times New Roman"/>
                <w:sz w:val="20"/>
                <w:szCs w:val="20"/>
                <w:u w:val="single"/>
              </w:rPr>
              <w:t>Technical</w:t>
            </w:r>
            <w:r w:rsidRPr="005A10D3">
              <w:rPr>
                <w:rFonts w:ascii="Calibri" w:hAnsi="Calibri" w:cs="Times New Roman"/>
                <w:sz w:val="20"/>
                <w:szCs w:val="20"/>
              </w:rPr>
              <w:t xml:space="preserve">:  assistance from experts in source identification may be necessary to assist Coordination Committee in decision-making  </w:t>
            </w:r>
            <w:r w:rsidRPr="005A10D3">
              <w:rPr>
                <w:rFonts w:ascii="Calibri" w:hAnsi="Calibri" w:cs="Times New Roman"/>
                <w:sz w:val="20"/>
                <w:szCs w:val="20"/>
              </w:rPr>
              <w:br/>
            </w:r>
            <w:r w:rsidRPr="005A10D3">
              <w:rPr>
                <w:rFonts w:ascii="Calibri" w:hAnsi="Calibri" w:cs="Times New Roman"/>
                <w:sz w:val="20"/>
                <w:szCs w:val="20"/>
              </w:rPr>
              <w:br/>
            </w:r>
            <w:r w:rsidRPr="005A10D3">
              <w:rPr>
                <w:rFonts w:ascii="Calibri" w:hAnsi="Calibri" w:cs="Times New Roman"/>
                <w:sz w:val="20"/>
                <w:szCs w:val="20"/>
                <w:u w:val="single"/>
              </w:rPr>
              <w:t>Financial</w:t>
            </w:r>
            <w:r w:rsidRPr="005A10D3">
              <w:rPr>
                <w:rFonts w:ascii="Calibri" w:hAnsi="Calibri" w:cs="Times New Roman"/>
                <w:sz w:val="20"/>
                <w:szCs w:val="20"/>
              </w:rPr>
              <w:t>:  new source identification methods may have different costs than known methods</w:t>
            </w:r>
          </w:p>
        </w:tc>
      </w:tr>
      <w:tr w:rsidR="005A10D3" w:rsidRPr="005A10D3" w14:paraId="27D0035F" w14:textId="77777777" w:rsidTr="00674778">
        <w:trPr>
          <w:cantSplit/>
        </w:trPr>
        <w:tc>
          <w:tcPr>
            <w:tcW w:w="3348" w:type="dxa"/>
          </w:tcPr>
          <w:p w14:paraId="570D1254" w14:textId="77777777" w:rsidR="005A10D3" w:rsidRPr="005A10D3" w:rsidRDefault="005A10D3" w:rsidP="005A10D3">
            <w:pPr>
              <w:rPr>
                <w:rFonts w:ascii="Calibri" w:hAnsi="Calibri" w:cs="Times New Roman"/>
                <w:b/>
                <w:bCs/>
                <w:sz w:val="20"/>
                <w:szCs w:val="20"/>
              </w:rPr>
            </w:pPr>
            <w:r w:rsidRPr="005A10D3">
              <w:rPr>
                <w:rFonts w:ascii="Calibri" w:hAnsi="Calibri" w:cs="Times New Roman"/>
                <w:b/>
                <w:bCs/>
                <w:sz w:val="20"/>
                <w:szCs w:val="20"/>
              </w:rPr>
              <w:t>Education Component</w:t>
            </w:r>
          </w:p>
        </w:tc>
        <w:tc>
          <w:tcPr>
            <w:tcW w:w="6228" w:type="dxa"/>
          </w:tcPr>
          <w:p w14:paraId="2B84FC4E" w14:textId="77777777" w:rsidR="005A10D3" w:rsidRPr="005A10D3" w:rsidRDefault="005A10D3" w:rsidP="005A10D3">
            <w:pPr>
              <w:rPr>
                <w:rFonts w:ascii="Calibri" w:hAnsi="Calibri" w:cs="Times New Roman"/>
                <w:sz w:val="20"/>
                <w:szCs w:val="20"/>
              </w:rPr>
            </w:pPr>
            <w:r w:rsidRPr="005A10D3">
              <w:rPr>
                <w:rFonts w:ascii="Calibri" w:hAnsi="Calibri" w:cs="Times New Roman"/>
                <w:sz w:val="20"/>
                <w:szCs w:val="20"/>
              </w:rPr>
              <w:t>The Coordination Committee and TCEQ will need to be aware of technological and cost changes of source identification</w:t>
            </w:r>
          </w:p>
        </w:tc>
      </w:tr>
      <w:tr w:rsidR="005A10D3" w:rsidRPr="005A10D3" w14:paraId="55D52FBC" w14:textId="77777777" w:rsidTr="00674778">
        <w:trPr>
          <w:cantSplit/>
        </w:trPr>
        <w:tc>
          <w:tcPr>
            <w:tcW w:w="3348" w:type="dxa"/>
          </w:tcPr>
          <w:p w14:paraId="721E0E7A" w14:textId="77777777" w:rsidR="005A10D3" w:rsidRPr="00B317B5" w:rsidRDefault="005A10D3" w:rsidP="005A10D3">
            <w:pPr>
              <w:rPr>
                <w:rFonts w:ascii="Calibri" w:hAnsi="Calibri" w:cs="Times New Roman"/>
                <w:b/>
                <w:bCs/>
                <w:sz w:val="20"/>
                <w:szCs w:val="20"/>
                <w:highlight w:val="yellow"/>
              </w:rPr>
            </w:pPr>
            <w:r w:rsidRPr="00B317B5">
              <w:rPr>
                <w:rFonts w:ascii="Calibri" w:hAnsi="Calibri" w:cs="Times New Roman"/>
                <w:b/>
                <w:bCs/>
                <w:sz w:val="20"/>
                <w:szCs w:val="20"/>
                <w:highlight w:val="yellow"/>
              </w:rPr>
              <w:t>Schedule of Implementation</w:t>
            </w:r>
          </w:p>
        </w:tc>
        <w:tc>
          <w:tcPr>
            <w:tcW w:w="6228" w:type="dxa"/>
          </w:tcPr>
          <w:p w14:paraId="061E5CA7" w14:textId="77777777" w:rsidR="005A10D3" w:rsidRPr="00B317B5" w:rsidRDefault="005A10D3" w:rsidP="005A10D3">
            <w:pPr>
              <w:rPr>
                <w:rFonts w:ascii="Calibri" w:hAnsi="Calibri" w:cs="Times New Roman"/>
                <w:sz w:val="20"/>
                <w:szCs w:val="20"/>
                <w:highlight w:val="yellow"/>
              </w:rPr>
            </w:pPr>
            <w:r w:rsidRPr="00B317B5">
              <w:rPr>
                <w:rFonts w:ascii="Calibri" w:hAnsi="Calibri" w:cs="Times New Roman"/>
                <w:sz w:val="20"/>
                <w:szCs w:val="20"/>
                <w:highlight w:val="yellow"/>
              </w:rPr>
              <w:t>In 2018 the Coordination Committee will review monitoring techniques and technologies to see if requesting source identification by TCEQ is appropriate</w:t>
            </w:r>
          </w:p>
        </w:tc>
      </w:tr>
      <w:tr w:rsidR="005A10D3" w:rsidRPr="005A10D3" w14:paraId="5BCAFC5A" w14:textId="77777777" w:rsidTr="00674778">
        <w:trPr>
          <w:cantSplit/>
        </w:trPr>
        <w:tc>
          <w:tcPr>
            <w:tcW w:w="3348" w:type="dxa"/>
          </w:tcPr>
          <w:p w14:paraId="6E951A8F" w14:textId="77777777" w:rsidR="005A10D3" w:rsidRPr="005A10D3" w:rsidRDefault="005A10D3" w:rsidP="005A10D3">
            <w:pPr>
              <w:rPr>
                <w:rFonts w:ascii="Calibri" w:hAnsi="Calibri" w:cs="Times New Roman"/>
                <w:b/>
                <w:bCs/>
                <w:sz w:val="20"/>
                <w:szCs w:val="20"/>
              </w:rPr>
            </w:pPr>
            <w:r w:rsidRPr="005A10D3">
              <w:rPr>
                <w:rFonts w:ascii="Calibri" w:hAnsi="Calibri" w:cs="Times New Roman"/>
                <w:b/>
                <w:bCs/>
                <w:sz w:val="20"/>
                <w:szCs w:val="20"/>
              </w:rPr>
              <w:t>Interim, Measurable Milestone</w:t>
            </w:r>
          </w:p>
        </w:tc>
        <w:tc>
          <w:tcPr>
            <w:tcW w:w="6228" w:type="dxa"/>
          </w:tcPr>
          <w:p w14:paraId="6928C2ED" w14:textId="77777777" w:rsidR="005A10D3" w:rsidRPr="005A10D3" w:rsidRDefault="005A10D3" w:rsidP="005A10D3">
            <w:pPr>
              <w:rPr>
                <w:rFonts w:ascii="Calibri" w:hAnsi="Calibri" w:cs="Times New Roman"/>
                <w:sz w:val="20"/>
                <w:szCs w:val="20"/>
              </w:rPr>
            </w:pPr>
            <w:r w:rsidRPr="005A10D3">
              <w:rPr>
                <w:rFonts w:ascii="Calibri" w:hAnsi="Calibri" w:cs="Times New Roman"/>
                <w:sz w:val="20"/>
                <w:szCs w:val="20"/>
              </w:rPr>
              <w:t xml:space="preserve">New source identification methods and costs identified </w:t>
            </w:r>
          </w:p>
        </w:tc>
      </w:tr>
      <w:tr w:rsidR="005A10D3" w:rsidRPr="005A10D3" w14:paraId="178735D6" w14:textId="77777777" w:rsidTr="00674778">
        <w:trPr>
          <w:cantSplit/>
        </w:trPr>
        <w:tc>
          <w:tcPr>
            <w:tcW w:w="3348" w:type="dxa"/>
          </w:tcPr>
          <w:p w14:paraId="153FE503" w14:textId="77777777" w:rsidR="005A10D3" w:rsidRPr="005A10D3" w:rsidRDefault="005A10D3" w:rsidP="005A10D3">
            <w:pPr>
              <w:rPr>
                <w:rFonts w:ascii="Calibri" w:hAnsi="Calibri" w:cs="Times New Roman"/>
                <w:b/>
                <w:bCs/>
                <w:sz w:val="20"/>
                <w:szCs w:val="20"/>
              </w:rPr>
            </w:pPr>
            <w:r w:rsidRPr="005A10D3">
              <w:rPr>
                <w:rFonts w:ascii="Calibri" w:hAnsi="Calibri" w:cs="Times New Roman"/>
                <w:b/>
                <w:bCs/>
                <w:sz w:val="20"/>
                <w:szCs w:val="20"/>
              </w:rPr>
              <w:t>Progress Indicators</w:t>
            </w:r>
          </w:p>
        </w:tc>
        <w:tc>
          <w:tcPr>
            <w:tcW w:w="6228" w:type="dxa"/>
          </w:tcPr>
          <w:p w14:paraId="4F414F2C" w14:textId="77777777" w:rsidR="005A10D3" w:rsidRPr="005A10D3" w:rsidRDefault="005A10D3" w:rsidP="005A10D3">
            <w:pPr>
              <w:rPr>
                <w:rFonts w:ascii="Calibri" w:hAnsi="Calibri" w:cs="Times New Roman"/>
                <w:sz w:val="20"/>
                <w:szCs w:val="20"/>
              </w:rPr>
            </w:pPr>
            <w:r w:rsidRPr="005A10D3">
              <w:rPr>
                <w:rFonts w:ascii="Calibri" w:hAnsi="Calibri" w:cs="Times New Roman"/>
                <w:sz w:val="20"/>
                <w:szCs w:val="20"/>
              </w:rPr>
              <w:t>Greater source identification results available to better target effectiveness of implementation strategies</w:t>
            </w:r>
          </w:p>
        </w:tc>
      </w:tr>
      <w:tr w:rsidR="005A10D3" w:rsidRPr="005A10D3" w14:paraId="0B29E9C1" w14:textId="77777777" w:rsidTr="00674778">
        <w:trPr>
          <w:cantSplit/>
        </w:trPr>
        <w:tc>
          <w:tcPr>
            <w:tcW w:w="3348" w:type="dxa"/>
          </w:tcPr>
          <w:p w14:paraId="392906F8" w14:textId="77777777" w:rsidR="005A10D3" w:rsidRPr="005A10D3" w:rsidRDefault="005A10D3" w:rsidP="005A10D3">
            <w:pPr>
              <w:rPr>
                <w:rFonts w:ascii="Calibri" w:hAnsi="Calibri" w:cs="Times New Roman"/>
                <w:b/>
                <w:bCs/>
                <w:sz w:val="20"/>
                <w:szCs w:val="20"/>
              </w:rPr>
            </w:pPr>
            <w:r w:rsidRPr="005A10D3">
              <w:rPr>
                <w:rFonts w:ascii="Calibri" w:hAnsi="Calibri" w:cs="Times New Roman"/>
                <w:b/>
                <w:bCs/>
                <w:sz w:val="20"/>
                <w:szCs w:val="20"/>
              </w:rPr>
              <w:t>Monitoring Component</w:t>
            </w:r>
          </w:p>
        </w:tc>
        <w:tc>
          <w:tcPr>
            <w:tcW w:w="6228" w:type="dxa"/>
          </w:tcPr>
          <w:p w14:paraId="75FD22B8" w14:textId="77777777" w:rsidR="005A10D3" w:rsidRPr="005A10D3" w:rsidRDefault="005A10D3" w:rsidP="005A10D3">
            <w:pPr>
              <w:rPr>
                <w:rFonts w:ascii="Calibri" w:hAnsi="Calibri" w:cs="Times New Roman"/>
                <w:sz w:val="20"/>
                <w:szCs w:val="20"/>
              </w:rPr>
            </w:pPr>
            <w:r w:rsidRPr="005A10D3">
              <w:rPr>
                <w:rFonts w:ascii="Calibri" w:hAnsi="Calibri" w:cs="Times New Roman"/>
                <w:sz w:val="20"/>
                <w:szCs w:val="20"/>
              </w:rPr>
              <w:t xml:space="preserve">Report to the Coordination Committee on new source identification availability and costs </w:t>
            </w:r>
          </w:p>
        </w:tc>
      </w:tr>
      <w:tr w:rsidR="005A10D3" w:rsidRPr="005A10D3" w14:paraId="1D3CDDCE" w14:textId="77777777" w:rsidTr="00674778">
        <w:trPr>
          <w:cantSplit/>
        </w:trPr>
        <w:tc>
          <w:tcPr>
            <w:tcW w:w="3348" w:type="dxa"/>
          </w:tcPr>
          <w:p w14:paraId="61F93CCB" w14:textId="77777777" w:rsidR="005A10D3" w:rsidRPr="005A10D3" w:rsidRDefault="005A10D3" w:rsidP="005A10D3">
            <w:pPr>
              <w:rPr>
                <w:rFonts w:ascii="Calibri" w:hAnsi="Calibri" w:cs="Times New Roman"/>
                <w:b/>
                <w:bCs/>
                <w:sz w:val="20"/>
                <w:szCs w:val="20"/>
              </w:rPr>
            </w:pPr>
            <w:r w:rsidRPr="005A10D3">
              <w:rPr>
                <w:rFonts w:ascii="Calibri" w:hAnsi="Calibri" w:cs="Times New Roman"/>
                <w:b/>
                <w:bCs/>
                <w:sz w:val="20"/>
                <w:szCs w:val="20"/>
              </w:rPr>
              <w:lastRenderedPageBreak/>
              <w:t>Responsible Entity</w:t>
            </w:r>
          </w:p>
        </w:tc>
        <w:tc>
          <w:tcPr>
            <w:tcW w:w="6228" w:type="dxa"/>
          </w:tcPr>
          <w:p w14:paraId="265CEF10" w14:textId="77777777" w:rsidR="005A10D3" w:rsidRDefault="005A10D3" w:rsidP="005A10D3">
            <w:pPr>
              <w:rPr>
                <w:rFonts w:ascii="Calibri" w:hAnsi="Calibri" w:cs="Times New Roman"/>
                <w:sz w:val="20"/>
                <w:szCs w:val="20"/>
              </w:rPr>
            </w:pPr>
            <w:r w:rsidRPr="00B317B5">
              <w:rPr>
                <w:rFonts w:ascii="Calibri" w:hAnsi="Calibri" w:cs="Times New Roman"/>
                <w:sz w:val="20"/>
                <w:szCs w:val="20"/>
                <w:highlight w:val="yellow"/>
              </w:rPr>
              <w:t xml:space="preserve">Monitoring Coordination </w:t>
            </w:r>
            <w:r w:rsidRPr="00B317B5">
              <w:rPr>
                <w:rFonts w:ascii="Calibri" w:hAnsi="Calibri" w:cs="Times New Roman"/>
                <w:color w:val="000000"/>
                <w:sz w:val="20"/>
                <w:szCs w:val="20"/>
                <w:highlight w:val="yellow"/>
              </w:rPr>
              <w:t xml:space="preserve">Forum </w:t>
            </w:r>
            <w:r w:rsidRPr="00B317B5">
              <w:rPr>
                <w:rFonts w:ascii="Calibri" w:hAnsi="Calibri" w:cs="Times New Roman"/>
                <w:sz w:val="20"/>
                <w:szCs w:val="20"/>
                <w:highlight w:val="yellow"/>
              </w:rPr>
              <w:t>will identify and evaluate new methods, techniques, and costs for source identification</w:t>
            </w:r>
            <w:r w:rsidRPr="00B317B5">
              <w:rPr>
                <w:rFonts w:ascii="Calibri" w:hAnsi="Calibri" w:cs="Times New Roman"/>
                <w:sz w:val="20"/>
                <w:szCs w:val="20"/>
                <w:highlight w:val="yellow"/>
              </w:rPr>
              <w:br/>
            </w:r>
            <w:r w:rsidRPr="00B317B5">
              <w:rPr>
                <w:rFonts w:ascii="Calibri" w:hAnsi="Calibri" w:cs="Times New Roman"/>
                <w:sz w:val="20"/>
                <w:szCs w:val="20"/>
                <w:highlight w:val="yellow"/>
              </w:rPr>
              <w:br/>
              <w:t>NCTCOG will prepare a report of the results from the technical subcommittee for the Coordination Committee</w:t>
            </w:r>
            <w:r w:rsidRPr="005A10D3">
              <w:rPr>
                <w:rFonts w:ascii="Calibri" w:hAnsi="Calibri" w:cs="Times New Roman"/>
                <w:sz w:val="20"/>
                <w:szCs w:val="20"/>
              </w:rPr>
              <w:br/>
            </w:r>
            <w:r w:rsidRPr="005A10D3">
              <w:rPr>
                <w:rFonts w:ascii="Calibri" w:hAnsi="Calibri" w:cs="Times New Roman"/>
                <w:sz w:val="20"/>
                <w:szCs w:val="20"/>
              </w:rPr>
              <w:br/>
              <w:t>The Coordination Committee will evaluate new methods and determine if a request to TCEQ for guidance or approval on the new method or type of test is warranted</w:t>
            </w:r>
            <w:r w:rsidRPr="005A10D3">
              <w:rPr>
                <w:rFonts w:ascii="Calibri" w:hAnsi="Calibri" w:cs="Times New Roman"/>
                <w:sz w:val="20"/>
                <w:szCs w:val="20"/>
              </w:rPr>
              <w:br/>
            </w:r>
            <w:r w:rsidRPr="005A10D3">
              <w:rPr>
                <w:rFonts w:ascii="Calibri" w:hAnsi="Calibri" w:cs="Times New Roman"/>
                <w:sz w:val="20"/>
                <w:szCs w:val="20"/>
              </w:rPr>
              <w:br/>
              <w:t xml:space="preserve">NCTCOG will coordinate dialogue between stakeholders and TCEQ to facilitate TCEQ consideration, and possible adoption or use of new source identification methods. </w:t>
            </w:r>
          </w:p>
          <w:p w14:paraId="3A194007" w14:textId="77777777" w:rsidR="00B317B5" w:rsidRDefault="00B317B5" w:rsidP="005A10D3">
            <w:pPr>
              <w:rPr>
                <w:rFonts w:ascii="Calibri" w:hAnsi="Calibri" w:cs="Times New Roman"/>
                <w:strike/>
                <w:sz w:val="20"/>
                <w:szCs w:val="20"/>
              </w:rPr>
            </w:pPr>
          </w:p>
          <w:p w14:paraId="319E33FA" w14:textId="196370C2" w:rsidR="00B317B5" w:rsidRPr="00B317B5" w:rsidRDefault="00B317B5" w:rsidP="005A10D3">
            <w:pPr>
              <w:rPr>
                <w:rFonts w:ascii="Calibri" w:hAnsi="Calibri" w:cs="Times New Roman"/>
                <w:sz w:val="20"/>
                <w:szCs w:val="20"/>
              </w:rPr>
            </w:pPr>
            <w:r w:rsidRPr="004D27D1">
              <w:rPr>
                <w:rFonts w:ascii="Calibri" w:hAnsi="Calibri" w:cs="Times New Roman"/>
                <w:color w:val="EE0000"/>
                <w:sz w:val="20"/>
                <w:szCs w:val="20"/>
                <w:highlight w:val="yellow"/>
              </w:rPr>
              <w:t xml:space="preserve">Stakeholders suggested that </w:t>
            </w:r>
            <w:r w:rsidR="004B4328" w:rsidRPr="004D27D1">
              <w:rPr>
                <w:rFonts w:ascii="Calibri" w:hAnsi="Calibri" w:cs="Times New Roman"/>
                <w:color w:val="EE0000"/>
                <w:sz w:val="20"/>
                <w:szCs w:val="20"/>
                <w:highlight w:val="yellow"/>
              </w:rPr>
              <w:t>some of these measures could be reallocated to strategy 7: Education and Outreach</w:t>
            </w:r>
            <w:r w:rsidR="004B4328" w:rsidRPr="004B4328">
              <w:rPr>
                <w:rFonts w:ascii="Calibri" w:hAnsi="Calibri" w:cs="Times New Roman"/>
                <w:color w:val="EE0000"/>
                <w:sz w:val="20"/>
                <w:szCs w:val="20"/>
              </w:rPr>
              <w:t xml:space="preserve"> </w:t>
            </w:r>
          </w:p>
        </w:tc>
      </w:tr>
    </w:tbl>
    <w:p w14:paraId="4315F576" w14:textId="77777777" w:rsidR="005A10D3" w:rsidRPr="005A10D3" w:rsidRDefault="005A10D3" w:rsidP="005A10D3">
      <w:pPr>
        <w:spacing w:after="200" w:line="276" w:lineRule="auto"/>
        <w:rPr>
          <w:rFonts w:ascii="Calibri" w:eastAsia="Times New Roman" w:hAnsi="Calibri" w:cs="Times New Roman"/>
          <w:kern w:val="0"/>
          <w:sz w:val="22"/>
          <w:szCs w:val="22"/>
          <w14:ligatures w14:val="none"/>
        </w:rPr>
      </w:pPr>
      <w:r w:rsidRPr="005A10D3">
        <w:rPr>
          <w:rFonts w:ascii="Calibri" w:eastAsia="Times New Roman" w:hAnsi="Calibri" w:cs="Times New Roman"/>
          <w:kern w:val="0"/>
          <w:sz w:val="22"/>
          <w:szCs w:val="22"/>
          <w14:ligatures w14:val="none"/>
        </w:rPr>
        <w:br w:type="page"/>
      </w:r>
    </w:p>
    <w:p w14:paraId="3C76909A" w14:textId="77777777" w:rsidR="005A10D3" w:rsidRPr="005A10D3" w:rsidRDefault="005A10D3" w:rsidP="005A10D3">
      <w:pPr>
        <w:spacing w:after="200" w:line="240" w:lineRule="auto"/>
        <w:rPr>
          <w:rFonts w:ascii="Calibri" w:eastAsia="Times New Roman" w:hAnsi="Calibri" w:cs="Times New Roman"/>
          <w:b/>
          <w:bCs/>
          <w:kern w:val="0"/>
          <w:sz w:val="22"/>
          <w14:ligatures w14:val="none"/>
        </w:rPr>
      </w:pPr>
      <w:bookmarkStart w:id="18" w:name="_Toc5963036"/>
      <w:r w:rsidRPr="00A62C4A">
        <w:rPr>
          <w:rFonts w:ascii="Calibri" w:eastAsia="Times New Roman" w:hAnsi="Calibri" w:cs="Times New Roman"/>
          <w:b/>
          <w:bCs/>
          <w:kern w:val="0"/>
          <w:sz w:val="22"/>
          <w:szCs w:val="22"/>
          <w:highlight w:val="yellow"/>
          <w14:ligatures w14:val="none"/>
        </w:rPr>
        <w:lastRenderedPageBreak/>
        <w:t xml:space="preserve">Figure </w:t>
      </w:r>
      <w:r w:rsidRPr="00A62C4A">
        <w:rPr>
          <w:rFonts w:ascii="Calibri" w:eastAsia="Times New Roman" w:hAnsi="Calibri" w:cs="Times New Roman"/>
          <w:b/>
          <w:bCs/>
          <w:noProof/>
          <w:kern w:val="0"/>
          <w:sz w:val="22"/>
          <w:szCs w:val="22"/>
          <w:highlight w:val="yellow"/>
          <w14:ligatures w14:val="none"/>
        </w:rPr>
        <w:fldChar w:fldCharType="begin"/>
      </w:r>
      <w:r w:rsidRPr="00A62C4A">
        <w:rPr>
          <w:rFonts w:ascii="Calibri" w:eastAsia="Times New Roman" w:hAnsi="Calibri" w:cs="Times New Roman"/>
          <w:b/>
          <w:bCs/>
          <w:noProof/>
          <w:kern w:val="0"/>
          <w:sz w:val="22"/>
          <w:szCs w:val="22"/>
          <w:highlight w:val="yellow"/>
          <w14:ligatures w14:val="none"/>
        </w:rPr>
        <w:instrText xml:space="preserve"> SEQ Figure \* ARABIC </w:instrText>
      </w:r>
      <w:r w:rsidRPr="00A62C4A">
        <w:rPr>
          <w:rFonts w:ascii="Calibri" w:eastAsia="Times New Roman" w:hAnsi="Calibri" w:cs="Times New Roman"/>
          <w:b/>
          <w:bCs/>
          <w:noProof/>
          <w:kern w:val="0"/>
          <w:sz w:val="22"/>
          <w:szCs w:val="22"/>
          <w:highlight w:val="yellow"/>
          <w14:ligatures w14:val="none"/>
        </w:rPr>
        <w:fldChar w:fldCharType="separate"/>
      </w:r>
      <w:r w:rsidRPr="00A62C4A">
        <w:rPr>
          <w:rFonts w:ascii="Calibri" w:eastAsia="Times New Roman" w:hAnsi="Calibri" w:cs="Times New Roman"/>
          <w:b/>
          <w:bCs/>
          <w:noProof/>
          <w:kern w:val="0"/>
          <w:sz w:val="22"/>
          <w:szCs w:val="22"/>
          <w:highlight w:val="yellow"/>
          <w14:ligatures w14:val="none"/>
        </w:rPr>
        <w:t>14</w:t>
      </w:r>
      <w:r w:rsidRPr="00A62C4A">
        <w:rPr>
          <w:rFonts w:ascii="Calibri" w:eastAsia="Times New Roman" w:hAnsi="Calibri" w:cs="Times New Roman"/>
          <w:b/>
          <w:bCs/>
          <w:noProof/>
          <w:kern w:val="0"/>
          <w:sz w:val="22"/>
          <w:szCs w:val="22"/>
          <w:highlight w:val="yellow"/>
          <w14:ligatures w14:val="none"/>
        </w:rPr>
        <w:fldChar w:fldCharType="end"/>
      </w:r>
      <w:r w:rsidRPr="00A62C4A">
        <w:rPr>
          <w:rFonts w:ascii="Calibri" w:eastAsia="Times New Roman" w:hAnsi="Calibri" w:cs="Times New Roman"/>
          <w:bCs/>
          <w:kern w:val="0"/>
          <w:highlight w:val="yellow"/>
          <w14:ligatures w14:val="none"/>
        </w:rPr>
        <w:t xml:space="preserve">. </w:t>
      </w:r>
      <w:r w:rsidRPr="00A62C4A">
        <w:rPr>
          <w:rFonts w:ascii="Calibri" w:eastAsia="Times New Roman" w:hAnsi="Calibri" w:cs="Times New Roman"/>
          <w:b/>
          <w:bCs/>
          <w:kern w:val="0"/>
          <w:sz w:val="22"/>
          <w:highlight w:val="yellow"/>
          <w14:ligatures w14:val="none"/>
        </w:rPr>
        <w:t>Monitoring Locations on Impaired Segments Map</w:t>
      </w:r>
      <w:bookmarkEnd w:id="18"/>
    </w:p>
    <w:p w14:paraId="5539238E" w14:textId="0F28299F" w:rsidR="005A10D3" w:rsidRPr="005428A4" w:rsidRDefault="005A10D3" w:rsidP="005428A4">
      <w:pPr>
        <w:spacing w:after="200" w:line="240" w:lineRule="auto"/>
        <w:rPr>
          <w:rFonts w:ascii="Calibri" w:eastAsia="Times New Roman" w:hAnsi="Calibri" w:cs="Times New Roman"/>
          <w:bCs/>
          <w:kern w:val="0"/>
          <w14:ligatures w14:val="none"/>
        </w:rPr>
      </w:pPr>
      <w:r w:rsidRPr="005A10D3">
        <w:rPr>
          <w:rFonts w:ascii="Calibri" w:eastAsia="Times New Roman" w:hAnsi="Calibri" w:cs="Times New Roman"/>
          <w:bCs/>
          <w:noProof/>
          <w:kern w:val="0"/>
          <w14:ligatures w14:val="none"/>
        </w:rPr>
        <w:drawing>
          <wp:inline distT="0" distB="0" distL="0" distR="0" wp14:anchorId="4BAF26CA" wp14:editId="196FF46B">
            <wp:extent cx="7680960" cy="5934704"/>
            <wp:effectExtent l="0" t="2858" r="0" b="0"/>
            <wp:docPr id="23" name="Picture 22" descr="Map of the TMDL Watersheds with overlay of monitoring stations along the impaired seg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Bacteria TMDL Subwatersheds Monitoring Stations.png"/>
                    <pic:cNvPicPr/>
                  </pic:nvPicPr>
                  <pic:blipFill>
                    <a:blip r:embed="rId4">
                      <a:extLst>
                        <a:ext uri="{28A0092B-C50C-407E-A947-70E740481C1C}">
                          <a14:useLocalDpi xmlns:a14="http://schemas.microsoft.com/office/drawing/2010/main" val="0"/>
                        </a:ext>
                      </a:extLst>
                    </a:blip>
                    <a:stretch>
                      <a:fillRect/>
                    </a:stretch>
                  </pic:blipFill>
                  <pic:spPr>
                    <a:xfrm rot="16200000">
                      <a:off x="0" y="0"/>
                      <a:ext cx="7680960" cy="5934704"/>
                    </a:xfrm>
                    <a:prstGeom prst="rect">
                      <a:avLst/>
                    </a:prstGeom>
                  </pic:spPr>
                </pic:pic>
              </a:graphicData>
            </a:graphic>
          </wp:inline>
        </w:drawing>
      </w:r>
    </w:p>
    <w:sectPr w:rsidR="005A10D3" w:rsidRPr="005428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0D3"/>
    <w:rsid w:val="00253202"/>
    <w:rsid w:val="004B4328"/>
    <w:rsid w:val="004D27D1"/>
    <w:rsid w:val="005428A4"/>
    <w:rsid w:val="005A10D3"/>
    <w:rsid w:val="006B590B"/>
    <w:rsid w:val="0079455F"/>
    <w:rsid w:val="00827C56"/>
    <w:rsid w:val="008A3CBD"/>
    <w:rsid w:val="00A62C4A"/>
    <w:rsid w:val="00B317B5"/>
    <w:rsid w:val="00CF2087"/>
    <w:rsid w:val="00D33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0AC78"/>
  <w15:chartTrackingRefBased/>
  <w15:docId w15:val="{7EF34E76-DC4A-4F6B-A391-9B97C4CFD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10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A10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A10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A10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A10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10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10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10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10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10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A10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A10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10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A10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10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10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10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10D3"/>
    <w:rPr>
      <w:rFonts w:eastAsiaTheme="majorEastAsia" w:cstheme="majorBidi"/>
      <w:color w:val="272727" w:themeColor="text1" w:themeTint="D8"/>
    </w:rPr>
  </w:style>
  <w:style w:type="paragraph" w:styleId="Title">
    <w:name w:val="Title"/>
    <w:basedOn w:val="Normal"/>
    <w:next w:val="Normal"/>
    <w:link w:val="TitleChar"/>
    <w:uiPriority w:val="10"/>
    <w:qFormat/>
    <w:rsid w:val="005A10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10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10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10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10D3"/>
    <w:pPr>
      <w:spacing w:before="160"/>
      <w:jc w:val="center"/>
    </w:pPr>
    <w:rPr>
      <w:i/>
      <w:iCs/>
      <w:color w:val="404040" w:themeColor="text1" w:themeTint="BF"/>
    </w:rPr>
  </w:style>
  <w:style w:type="character" w:customStyle="1" w:styleId="QuoteChar">
    <w:name w:val="Quote Char"/>
    <w:basedOn w:val="DefaultParagraphFont"/>
    <w:link w:val="Quote"/>
    <w:uiPriority w:val="29"/>
    <w:rsid w:val="005A10D3"/>
    <w:rPr>
      <w:i/>
      <w:iCs/>
      <w:color w:val="404040" w:themeColor="text1" w:themeTint="BF"/>
    </w:rPr>
  </w:style>
  <w:style w:type="paragraph" w:styleId="ListParagraph">
    <w:name w:val="List Paragraph"/>
    <w:basedOn w:val="Normal"/>
    <w:uiPriority w:val="34"/>
    <w:qFormat/>
    <w:rsid w:val="005A10D3"/>
    <w:pPr>
      <w:ind w:left="720"/>
      <w:contextualSpacing/>
    </w:pPr>
  </w:style>
  <w:style w:type="character" w:styleId="IntenseEmphasis">
    <w:name w:val="Intense Emphasis"/>
    <w:basedOn w:val="DefaultParagraphFont"/>
    <w:uiPriority w:val="21"/>
    <w:qFormat/>
    <w:rsid w:val="005A10D3"/>
    <w:rPr>
      <w:i/>
      <w:iCs/>
      <w:color w:val="0F4761" w:themeColor="accent1" w:themeShade="BF"/>
    </w:rPr>
  </w:style>
  <w:style w:type="paragraph" w:styleId="IntenseQuote">
    <w:name w:val="Intense Quote"/>
    <w:basedOn w:val="Normal"/>
    <w:next w:val="Normal"/>
    <w:link w:val="IntenseQuoteChar"/>
    <w:uiPriority w:val="30"/>
    <w:qFormat/>
    <w:rsid w:val="005A10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10D3"/>
    <w:rPr>
      <w:i/>
      <w:iCs/>
      <w:color w:val="0F4761" w:themeColor="accent1" w:themeShade="BF"/>
    </w:rPr>
  </w:style>
  <w:style w:type="character" w:styleId="IntenseReference">
    <w:name w:val="Intense Reference"/>
    <w:basedOn w:val="DefaultParagraphFont"/>
    <w:uiPriority w:val="32"/>
    <w:qFormat/>
    <w:rsid w:val="005A10D3"/>
    <w:rPr>
      <w:b/>
      <w:bCs/>
      <w:smallCaps/>
      <w:color w:val="0F4761" w:themeColor="accent1" w:themeShade="BF"/>
      <w:spacing w:val="5"/>
    </w:rPr>
  </w:style>
  <w:style w:type="table" w:styleId="TableGrid">
    <w:name w:val="Table Grid"/>
    <w:basedOn w:val="TableNormal"/>
    <w:uiPriority w:val="39"/>
    <w:rsid w:val="005A10D3"/>
    <w:pPr>
      <w:spacing w:after="0" w:line="240" w:lineRule="auto"/>
    </w:pPr>
    <w:rPr>
      <w:rFonts w:eastAsia="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a061e953-577f-44bc-90d4-dd6552c79708}" enabled="1" method="Privileged" siteId="{2f5e7ebc-22b0-4fbe-934c-aabddb4e29b1}"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7</Pages>
  <Words>1964</Words>
  <Characters>11199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Douglas</dc:creator>
  <cp:keywords/>
  <dc:description/>
  <cp:lastModifiedBy>Erin Blackman</cp:lastModifiedBy>
  <cp:revision>3</cp:revision>
  <dcterms:created xsi:type="dcterms:W3CDTF">2025-11-10T22:11:00Z</dcterms:created>
  <dcterms:modified xsi:type="dcterms:W3CDTF">2025-11-12T20:35:00Z</dcterms:modified>
</cp:coreProperties>
</file>